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94" w:lineRule="exact" w:before="1440" w:after="0"/>
        <w:jc w:val="center"/>
      </w:pPr>
      <w:r>
        <w:rPr>
          <w:rFonts w:ascii="Times New Roman" w:hAnsi="Times New Roman" w:eastAsia="宋体"/>
          <w:b w:val="0"/>
          <w:sz w:val="72"/>
        </w:rPr>
        <w:t>《AI应用基础》</w:t>
      </w:r>
    </w:p>
    <w:p>
      <w:pPr>
        <w:spacing w:line="594" w:lineRule="exact" w:before="0" w:after="0"/>
        <w:jc w:val="center"/>
      </w:pPr>
      <w:r>
        <w:rPr>
          <w:rFonts w:ascii="Times New Roman" w:hAnsi="Times New Roman" w:eastAsia="宋体"/>
          <w:b w:val="0"/>
          <w:sz w:val="72"/>
        </w:rPr>
        <w:t>课程标准</w:t>
      </w:r>
    </w:p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部    门： 智能控制学院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编制依据： 本专业人才培养方案；职业教育国家教学标准体系（含2025年修订版专业教学标准，高职专科'工业互联网技术'专业可对照）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制    订： 工业互联网应用专业教学团队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课程负责人：            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二级学院院长：            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>制订时间： 2026  年 8 月</w:t>
      </w:r>
    </w:p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1920" w:after="0"/>
        <w:jc w:val="center"/>
      </w:pPr>
      <w:r>
        <w:rPr>
          <w:rFonts w:ascii="Times New Roman" w:hAnsi="Times New Roman" w:eastAsia="黑体"/>
          <w:b w:val="0"/>
          <w:sz w:val="32"/>
        </w:rPr>
        <w:t>重庆现代制造职业学院 编印</w:t>
      </w:r>
    </w:p>
    <w:p>
      <w:pPr>
        <w:sectPr>
          <w:pgSz w:w="11906" w:h="16838"/>
          <w:pgMar w:top="1411" w:right="1411" w:bottom="1411" w:left="1411" w:header="720" w:footer="720" w:gutter="0"/>
          <w:cols w:space="720"/>
          <w:docGrid w:linePitch="360"/>
        </w:sectPr>
      </w:pPr>
    </w:p>
    <w:p>
      <w:pPr>
        <w:spacing w:line="594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一、课程概述</w:t>
        <w:tab/>
        <w:t>1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（一）课程基本信息</w:t>
        <w:tab/>
        <w:t>1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（二）本课程与其他课程的关系</w:t>
        <w:tab/>
        <w:t>1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（三）课程性质与定位</w:t>
        <w:tab/>
        <w:t>2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（四）课程基本教学理念</w:t>
        <w:tab/>
        <w:t>2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（五）“岗课赛证创”五维融通</w:t>
        <w:tab/>
        <w:t>3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二、教学目标</w:t>
        <w:tab/>
        <w:t>4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（一）知识目标</w:t>
        <w:tab/>
        <w:t>4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（二）能力目标</w:t>
        <w:tab/>
        <w:t>5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（三）素质目标</w:t>
        <w:tab/>
        <w:t>5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（四）研究与创新</w:t>
        <w:tab/>
        <w:t>5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（五）可持续发展</w:t>
        <w:tab/>
        <w:t>6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三、教学内容</w:t>
        <w:tab/>
        <w:t>6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（一）教学方式</w:t>
        <w:tab/>
        <w:t>6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（二）教学任务与工作内容</w:t>
        <w:tab/>
        <w:t>6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四、课程实施保障条件</w:t>
        <w:tab/>
        <w:t>7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（一）实训（实习）条件</w:t>
        <w:tab/>
        <w:t>7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（二）教学团队</w:t>
        <w:tab/>
        <w:t>8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（三）学习资源</w:t>
        <w:tab/>
        <w:t>8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五、学习评价</w:t>
        <w:tab/>
        <w:t>8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（一）课程评价</w:t>
        <w:tab/>
        <w:t>9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（二）通过标准</w:t>
        <w:tab/>
        <w:t>9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（三）质量保障与持续改进</w:t>
        <w:tab/>
        <w:t>9</w:t>
      </w:r>
    </w:p>
    <w:p>
      <w:r>
        <w:br w:type="page"/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一、课程概述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（一）课程基本信息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71"/>
        <w:gridCol w:w="2271"/>
        <w:gridCol w:w="2271"/>
        <w:gridCol w:w="2271"/>
      </w:tblGrid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课程代码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B46010304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开课学院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智能控制学院</w:t>
            </w:r>
          </w:p>
        </w:tc>
      </w:tr>
      <w:tr>
        <w:tc>
          <w:tcPr>
            <w:tcW w:type="dxa" w:w="245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课程名称</w:t>
            </w:r>
          </w:p>
        </w:tc>
        <w:tc>
          <w:tcPr>
            <w:tcW w:type="dxa" w:w="7250"/>
            <w:vAlign w:val="center"/>
            <w:gridSpan w:val="3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AI应用基础</w:t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</w:tc>
      </w:tr>
      <w:tr>
        <w:tc>
          <w:tcPr>
            <w:tcW w:type="dxa" w:w="245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面向的职业及岗位</w:t>
            </w:r>
          </w:p>
        </w:tc>
        <w:tc>
          <w:tcPr>
            <w:tcW w:type="dxa" w:w="7250"/>
            <w:vAlign w:val="center"/>
            <w:gridSpan w:val="3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AI应用工程师、智能系统设计员、工业视觉系统开发员、工业互联网数据分析师</w:t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学分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总学时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16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理论学时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4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实习（训）学时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12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课时标准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每课时40分钟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开课时间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第5-12周（与《Python编程基础》后段协同）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（二）本课程与其他课程的关系</w:t>
      </w:r>
    </w:p>
    <w:p>
      <w:pPr>
        <w:spacing w:line="594" w:lineRule="exact" w:before="0" w:after="0"/>
        <w:jc w:val="center"/>
      </w:pPr>
      <w:r>
        <w:rPr>
          <w:rFonts w:ascii="Times New Roman" w:hAnsi="Times New Roman" w:eastAsia="方正仿宋_GBK"/>
          <w:b w:val="0"/>
          <w:sz w:val="28"/>
        </w:rPr>
        <w:t>本课程与其它课程的关系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</w:tblGrid>
      <w:tr>
        <w:tc>
          <w:tcPr>
            <w:tcW w:type="dxa" w:w="1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type="dxa" w:w="3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前续课程</w:t>
            </w:r>
          </w:p>
        </w:tc>
        <w:tc>
          <w:tcPr>
            <w:tcW w:type="dxa" w:w="64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《Python编程基础》前4周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知识点：Python语法、函数、类与对象、异常处理、文件操作（继承暂不涉及） / 技能点：OOP封装建模、代码调试 / 工具：VS Code、Python 3.9+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计算机文化基础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计算机系统结构、文件管理、网络基础概念</w:t>
            </w:r>
          </w:p>
        </w:tc>
      </w:tr>
      <w:tr>
        <w:tc>
          <w:tcPr>
            <w:tcW w:type="dxa" w:w="1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type="dxa" w:w="3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后续课程</w:t>
            </w:r>
          </w:p>
        </w:tc>
        <w:tc>
          <w:tcPr>
            <w:tcW w:type="dxa" w:w="64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《Python程序设计（项目实战）》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知识点：机器学习工程化、数据处理、系统集成 / 技能点：模型部署与优化 / 库：scikit-learn、PyTorch、ONNX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工业互联网应用集成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AI模型部署、边缘计算应用、数据管道集成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（三）课程性质与定位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本课程是工业互联网应用专业的核心能力进阶课程，理论与实践紧密结合的应用型课程，与《Python编程基础》高度协同的配套强化课程。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课程基于学生已有的编程基础，快速升级到AI应用层面，强调“无代码体验→轻代码实现→工业级应用”的渐进式学习，通过8个真实工业场景培养AI解决问题能力，为《Python程序设计（项目实战）》和毕业设计做准备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（四）课程基本教学理念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1.快速升级：充分利用学生已有编程基础，快速完成编程语言→算法应用→工业系统的能力跃迁。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2.项目驱动：围绕真实工业问题设计学习内容，每次课都有可见成果（小步成功）。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3.渐进难度：从“调用API体验”→“轻代码修改”→“OOP架构设计”逐级进阶。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4.融合OOP思想：复用《Python编程基础》的类设计能力，构建可扩展的AI系统。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5.工程实践：包含模型评估、部署、系统集成等完整工程环节。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6.大模型融合：融入LLM、Prompt工程、RAG、智能体等前沿应用。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（五）“岗课赛证创”五维融通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2"/>
        <w:gridCol w:w="4542"/>
      </w:tblGrid>
      <w:tr>
        <w:tc>
          <w:tcPr>
            <w:tcW w:type="dxa" w:w="2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维度</w:t>
            </w:r>
          </w:p>
        </w:tc>
        <w:tc>
          <w:tcPr>
            <w:tcW w:type="dxa" w:w="87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对接内容与落地载体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岗（岗位）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对接AI应用工程师、工业视觉系统开发、工业互联网数据分析岗——以设备智能运维中心真实任务（泵站诊断、焊缝质检、风机寿命预测）为课程情境源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课（课程）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M1.1-M4.2共8个工单即课程主线，统一挂接'重庆两江智造集团'连续剧情，任务描述即岗位职责说明书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赛（竞赛）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A层拓展任务对标全国职业院校技能大赛'人工智能应用'赛项与蓝桥杯AI赛道题型；工单评分表含竞赛加分项（功能扩展/性能优化）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证（证书）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考核大纲与1+X证书知识点逐条映射（见下方证书对接细则）；M3.2达标线即计算机视觉工程师企业认证实操要求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创（创新）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M4.2智能决策助手可延伸为'互联网+'创新创业训练项目；优秀作品入个人项目档案袋，对接毕设与实习推荐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0" w:after="0"/>
      </w:pPr>
      <w:r>
        <w:rPr>
          <w:rFonts w:ascii="Times New Roman" w:hAnsi="Times New Roman" w:eastAsia="黑体"/>
          <w:b/>
          <w:sz w:val="24"/>
        </w:rPr>
        <w:t>证书对接细则：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AI应用实践职业技能等级证书（中级）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工业互联网平台运维职业技能等级证书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计算机视觉应用工程师（企业认证）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（六）课程思政设计（三融入）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总目标：科技向善、制造强国——用AI守护生产安全，尊重数据伦理，反对“黑盒滥用”与结果造假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设计融入：8个工单情境均源自真实生产关切（“误报能忍、漏报要命”→生命至上）；知识库全部脱敏→数据安全与隐私红线教育贯穿M4模块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环节融入：六步法“决策”环节强调工程责任与方案可追溯（决策追责）；“检查”环节以三层质检培育严谨求实；“评价”环节用模型可解释性倡导科学精神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流程融入：工单评分素养占15%（工程素养量化落地）；A层“费曼带徒”传承传帮带文化；答辩评委设企业角色，职业规范提前养成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案例映射：M1.2漏报追责→责任担当；M2.2风机寿命预测→设备安全与经济效益平衡；M4.2智能助手→AI伦理与人工复核不可替代</w:t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二、教学目标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（一）知识目标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1.机器学习基础：理解监督学习、分类与回归；掌握逻辑回归、决策树、随机森林在故障诊断中的应用；理解准确率、精确率、召回率、F1值。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2.深度学习：理解神经网络结构与前向传播；掌握CNN在缺陷检测、LSTM在时间序列预测中的应用；了解迁移学习。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3.计算机视觉：掌握图像处理基础（色彩空间、直方图、边缘检测）；掌握YOLO在产线缺陷检测中的应用；理解工业视觉系统架构。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4.NLP与大模型：掌握分词、TF-IDF与文本分类流程；理解LLM、Prompt工程、RAG与智能体的基本概念。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5.AI系统工程：理解“训练→评估→打包→部署”流程与轻量化模型（TensorFlow Lite/ONNX）概念。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（二）能力目标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1.数据处理与特征工程：能使用NumPy/scikit-learn进行工业数据清洗、特征构建与归一化。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2.模型开发：能使用scikit-learn快速开发分类模型并评估优化；能使用PyTorch完成CNN/LSTM小型模型训练（CPU环境）。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3.视觉系统：能使用OpenCV完成缺陷检测与尺寸测量；能基于预训练YOLOv8n完成CPU推理与阈值优化。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4.NLP与大模型应用：能完成中文分词与文本分类；能调用本地模拟LLM服务完成Prompt优化与RAG问答系统（真实API为合规选做）。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5.系统集成：能用面向对象方法设计AI系统（Model/Agent/Tool类），完成模型封装与推理服务化。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（三）素质目标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1.科学严谨：重视模型可解释性，理解算法适用范围与限制，尊重数据隐私与伦理。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2.工程化思维：从“模型精度”升级到“系统可用性”，关注部署、维护与版本管理。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3.创新与持续学习：追踪大模型、智能体等前沿技术并在工业场景中创新应用。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（四）研究与创新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1.学生研究方向：工业数据特征工程创新方案、轻量化模型在边缘设备的部署优化、大模型+知识库在设备运维中的应用探索。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2.创新成果形式：创新代码实现（新特征/新架构）、创意项目设计（工业AI应用）、技术总结报告。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（五）可持续发展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1.绿色计算：理解模型轻量化对算力与能耗的意义，编写高效推理代码。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2.数据安全：企业数据不出域（本地推理、脱敏调用），遵守数据合规底线。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3.长期学习：建立追踪AI技术生态的习惯，沉淀个人技术资产（工单代码库+避坑清单）。</w:t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三、教学内容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（一）教学方式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每课时40分钟；每周2课时（80分钟）。德国双元制本土化六步法课堂化实施——“资讯·计划”以线上导学单课前完成；课堂80分钟时间盒：决策（10分钟，备选方案对比+决策矩阵）→实施（55分钟，两轮）→检查（自检—互检—师查三层质检）→评价（10分钟，量表反馈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“体验→应用→优化”三段式教学法（费曼学习法ABCD层师徒制）；技术路线CPU优先、训练与推理分离；工单项目驱动，8个工单覆盖机器学习、深度学习、计算机视觉、NLP与大模型四大模块。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（二）教学任务与工作内容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</w:tblGrid>
      <w:tr>
        <w:tc>
          <w:tcPr>
            <w:tcW w:type="dxa" w:w="26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模块/任务</w:t>
            </w:r>
          </w:p>
        </w:tc>
        <w:tc>
          <w:tcPr>
            <w:tcW w:type="dxa" w:w="19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周次·学时</w:t>
            </w:r>
          </w:p>
        </w:tc>
        <w:tc>
          <w:tcPr>
            <w:tcW w:type="dxa" w:w="61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学习内容与工单项目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模块一 机器学习与故障诊断</w:t>
              <w:br/>
              <w:t>任务6.1 分类算法基础</w:t>
              <w:br/>
              <w:t>任务7.1 特征工程优化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第5-6周</w:t>
              <w:br/>
              <w:t>4课时(1理3实)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监督学习与分类概念、三分类器对比、四项评估指标；特征构建、归一化、交叉验证与调优。工单：M1.1泵类设备故障诊断系统（准确率≥0.75）、M1.2特征工程优化（提升≥5%）。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模块二 深度学习与工业预测</w:t>
              <w:br/>
              <w:t>任务8.1 CNN缺陷检测</w:t>
              <w:br/>
              <w:t>任务9.1 LSTM寿命预测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第7-8周</w:t>
              <w:br/>
              <w:t>4课时(2理2实)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神经网络结构、卷积与特征图（形状追踪法）；时间序列与滑动窗口、RUL预测。工单：M2.1焊接缺陷检测（CPU tiny-CNN，准确率≥0.80）、M2.2轴承寿命预测（MSE&lt;0.15）。第7周含中期诊断。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模块三 计算机视觉与缺陷检测</w:t>
              <w:br/>
              <w:t>任务10.1 缺陷尺寸测量</w:t>
              <w:br/>
              <w:t>任务11.1 YOLO实时检测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第9-10周</w:t>
              <w:br/>
              <w:t>4课时(2理2实)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图像处理链条（滤波/分割/轮廓）、像素当量换算；YOLO输出解读、阈值与FPS权衡（预训练模型CPU推理，微调教师演示）。工单：M3.1尺寸测量（误差&lt;10%）、M3.2实时检测（mAP≥0.70）。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模块四 NLP与大模型应用</w:t>
              <w:br/>
              <w:t>任务12.1 文本分类</w:t>
              <w:br/>
              <w:t>任务13.1 大模型应用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第11-12周</w:t>
              <w:br/>
              <w:t>4课时(2理2实)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jieba分词、TF-IDF与五分类；LLM/Prompt/RAG/Agent（本地模拟LLM服务，离线可用）。工单：M4.1故障报告分类（≥0.75）、M4.2智能决策助手（答对≥5问）。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四、课程实施保障条件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（一）实训（实习）条件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1.软件开发实训室：30台以上计算机（i5及以上、8GB内存、256GB SSD），无需GPU。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2.软件环境：Python 3.9+、scikit-learn、PyTorch（CPU版）、OpenCV、jieba、ultralytics/onnxruntime（离线安装包）；本地模拟LLM服务（OpenAI兼容接口）。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3.数据与工具：课程数据生成器一键产出故障数据、图像数据集、语料与知识库；YOLOv8n离线权重包。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（二）教学团队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1.课程负责人：讲师及以上，3年以上AI应用开发经验。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2.主讲教师：讲师，精通机器学习、深度学习、NLP，能实时代码演示与排障。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3.实验指导教师：能进行代码调试和系统集成指导；鼓励聘请企业AI应用工程师参与综合评审。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（三）学习资源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教学资源（已备）：8个工单任务书与代码框架、教师参考实现（全部实机验证）、Jupyter版实训手册、配套授课PPT（8个，每2课时1个）、本地数据生成器与模拟LLM服务、必答题库（四类40题）、微课脚本与录课计划（视频按周录制滚动充实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2.参考资源（真实可用）：PyTorch/OpenCV/scikit-learn/Ultralytics官方文档（在线）；《深度学习》（Goodfellow）等教材（图书馆配书）；Fast.ai等公开课程（在线选修）。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3.企业资源（依托校企合作落实）：企业导师评审（开课前完成聘任）、脱敏工业数据集（完成数据授权后启用，课内以本地生成数据替代）、模型部署技术指导（远程讲座形式）。</w:t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五、学习评价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（一）课程评价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总成绩=过程性考核（80%）+终结性考核（20%）。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过程性考核：课堂参与度10%（含小步成功观测）、代码质量10%、创新与深化10%、工单任务完成度50%（M1.1~M4.2八个工单各6.25%，D/C/B/A四级量表评分，24小时内反馈）。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终结性考核：综合项目上机操作与答辩（系统完整性、性能指标、工程实现度、创新价值）。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等级标准：A（优）90-100功能100%+最优性能+完善工程考虑；B（优良）80-89；C（良）70-79；D（合格）60-69；E（不合格）&lt;60。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（二）通过标准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1.达到学习目标所列知识、能力、素质要求；缺课不超过10%。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2.八个工单任务完成度均达D级及以上；综合成绩60分及以上。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3.预期学习结果：及格率≥92%、优秀率≥35%、掉队率≤5%（配套补强机制）。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（三）质量保障与持续改进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课程质量监控三级闭环：学生评教（每课次）+ 督导/同行听课（每学期≥1次，指标含'授课计划完整规范''教学内容符合课程标准'）+ 毕业生/企业反馈（每年）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数据驱动的持续改进：过程性成绩与工单达标率按周分析，连续两次低于70%达标的任务触发教学策略调整并记录《课程诊改台账》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课程标准年度修订：结合1+X证书大纲更新与两江智造载体案例库迭代，每年暑期修订一次并经二级学院教学指导委员会审定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教学文件一致性核查：课程标准—授课计划表—教学方案—工单四层文件每学期开课前交叉校验（课时口径/考核权重/工单号全集）</w:t>
      </w:r>
    </w:p>
    <w:sectPr w:rsidR="00FC693F" w:rsidRPr="0006063C" w:rsidSect="00034616">
      <w:footerReference w:type="default" r:id="rId9"/>
      <w:pgSz w:w="11906" w:h="16838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8"/>
      </w:rPr>
      <w:t xml:space="preserve">- </w:t>
    </w:r>
    <w:r>
      <w:rPr>
        <w:rFonts w:ascii="Times New Roman" w:hAnsi="Times New Roman" w:eastAsia="宋体"/>
        <w:b w:val="0"/>
        <w:sz w:val="28"/>
      </w:rPr>
      <w:fldChar w:fldCharType="begin"/>
      <w:instrText xml:space="preserve"> PAGE \* MERGEFORMAT </w:instrText>
      <w:fldChar w:fldCharType="end"/>
    </w:r>
    <w:r>
      <w:rPr>
        <w:rFonts w:ascii="Times New Roman" w:hAnsi="Times New Roman" w:eastAsia="宋体"/>
        <w:b w:val="0"/>
        <w:sz w:val="2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工业互联网应用专业教学资源库</dc:creator>
  <cp:keywords>两江智造;第5周开课;双创中心302;岗课赛证创;课程思政</cp:keywords>
  <dc:description>generated by python-docx</dc:description>
  <cp:lastModifiedBy/>
  <cp:revision>1</cp:revision>
  <dcterms:created xsi:type="dcterms:W3CDTF">2026-08-28T00:00:00Z</dcterms:created>
  <dcterms:modified xsi:type="dcterms:W3CDTF">2026-08-28T00:00:00Z</dcterms:modified>
  <cp:category>高职高专教学文件</cp:category>
</cp:coreProperties>
</file>