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C568D2">
      <w:pPr>
        <w:pStyle w:val="2"/>
        <w:spacing w:line="700" w:lineRule="exact"/>
        <w:rPr>
          <w:rFonts w:ascii="方正黑体_GBK" w:hAnsi="方正黑体_GBK" w:eastAsia="方正黑体_GBK" w:cs="方正黑体_GBK"/>
          <w:sz w:val="52"/>
          <w:szCs w:val="24"/>
        </w:rPr>
      </w:pPr>
      <w:r>
        <w:rPr>
          <w:rFonts w:hint="eastAsia" w:ascii="方正黑体_GBK" w:hAnsi="方正黑体_GBK" w:eastAsia="方正黑体_GBK" w:cs="方正黑体_GBK"/>
          <w:sz w:val="52"/>
          <w:szCs w:val="24"/>
        </w:rPr>
        <w:t>重庆现代制造职业学院</w:t>
      </w:r>
    </w:p>
    <w:p w14:paraId="58B5C43F">
      <w:pPr>
        <w:pStyle w:val="2"/>
        <w:spacing w:line="700" w:lineRule="exact"/>
        <w:rPr>
          <w:rFonts w:ascii="方正黑体_GBK" w:hAnsi="方正黑体_GBK" w:eastAsia="方正黑体_GBK" w:cs="方正黑体_GBK"/>
          <w:sz w:val="52"/>
          <w:szCs w:val="24"/>
        </w:rPr>
      </w:pPr>
      <w:r>
        <w:rPr>
          <w:rFonts w:hint="eastAsia" w:ascii="方正黑体_GBK" w:hAnsi="方正黑体_GBK" w:eastAsia="方正黑体_GBK" w:cs="方正黑体_GBK"/>
          <w:sz w:val="52"/>
          <w:szCs w:val="24"/>
        </w:rPr>
        <w:t>学期教学授课计划表</w:t>
      </w:r>
    </w:p>
    <w:tbl>
      <w:tblPr>
        <w:tblStyle w:val="9"/>
        <w:tblpPr w:leftFromText="180" w:rightFromText="180" w:vertAnchor="text" w:horzAnchor="page" w:tblpXSpec="center" w:tblpY="526"/>
        <w:tblOverlap w:val="never"/>
        <w:tblW w:w="876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25"/>
        <w:gridCol w:w="5136"/>
      </w:tblGrid>
      <w:tr w14:paraId="6E9A0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5" w:hRule="atLeast"/>
          <w:jc w:val="center"/>
        </w:trPr>
        <w:tc>
          <w:tcPr>
            <w:tcW w:w="3625" w:type="dxa"/>
            <w:vAlign w:val="center"/>
          </w:tcPr>
          <w:p w14:paraId="38AB927C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 xml:space="preserve">开课学院</w:t>
            </w:r>
          </w:p>
        </w:tc>
        <w:tc>
          <w:tcPr>
            <w:tcW w:w="5136" w:type="dxa"/>
            <w:vAlign w:val="center"/>
          </w:tcPr>
          <w:p w14:paraId="2F26DFFB">
            <w:pPr>
              <w:pStyle w:val="3"/>
              <w:jc w:val="center"/>
              <w:rPr>
                <w:rFonts w:hint="default" w:ascii="方正黑体_GBK" w:hAnsi="方正黑体_GBK" w:eastAsia="方正黑体_GBK" w:cs="方正黑体_GBK"/>
                <w:b w:val="0"/>
                <w:bCs w:val="0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lang w:val="en-US" w:eastAsia="zh-CN"/>
              </w:rPr>
              <w:t xml:space="preserve">智能控制学院</w:t>
            </w:r>
          </w:p>
        </w:tc>
      </w:tr>
      <w:tr w14:paraId="6CC99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5" w:hRule="atLeast"/>
          <w:jc w:val="center"/>
        </w:trPr>
        <w:tc>
          <w:tcPr>
            <w:tcW w:w="3625" w:type="dxa"/>
            <w:vAlign w:val="center"/>
          </w:tcPr>
          <w:p w14:paraId="7E3C8A7D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 xml:space="preserve">授课教师</w:t>
            </w:r>
          </w:p>
        </w:tc>
        <w:tc>
          <w:tcPr>
            <w:tcW w:w="5136" w:type="dxa"/>
            <w:vAlign w:val="center"/>
          </w:tcPr>
          <w:p w14:paraId="61158325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ascii="方正黑体_GBK" w:hAnsi="方正黑体_GBK" w:eastAsia="方正黑体_GBK" w:cs="方正黑体_GBK"/>
                <w:b w:val="0"/>
                <w:bCs w:val="0"/>
              </w:rPr>
              <w:t xml:space="preserve"/>
            </w:r>
          </w:p>
        </w:tc>
      </w:tr>
      <w:tr w14:paraId="649AA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2" w:hRule="atLeast"/>
          <w:jc w:val="center"/>
        </w:trPr>
        <w:tc>
          <w:tcPr>
            <w:tcW w:w="3625" w:type="dxa"/>
            <w:vAlign w:val="center"/>
          </w:tcPr>
          <w:p w14:paraId="75648F6C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 xml:space="preserve">课程名称</w:t>
            </w:r>
          </w:p>
        </w:tc>
        <w:tc>
          <w:tcPr>
            <w:tcW w:w="5136" w:type="dxa"/>
            <w:vAlign w:val="center"/>
          </w:tcPr>
          <w:p w14:paraId="51E6343E">
            <w:pPr>
              <w:pStyle w:val="3"/>
              <w:jc w:val="center"/>
              <w:rPr>
                <w:rFonts w:hint="default" w:ascii="方正黑体_GBK" w:hAnsi="方正黑体_GBK" w:eastAsia="方正黑体_GBK" w:cs="方正黑体_GBK"/>
                <w:b w:val="0"/>
                <w:bCs w:val="0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lang w:val="en-US" w:eastAsia="zh-CN"/>
              </w:rPr>
              <w:t xml:space="preserve">AI应用基础</w:t>
            </w:r>
          </w:p>
        </w:tc>
      </w:tr>
      <w:tr w14:paraId="7DBFC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7" w:hRule="atLeast"/>
          <w:jc w:val="center"/>
        </w:trPr>
        <w:tc>
          <w:tcPr>
            <w:tcW w:w="3625" w:type="dxa"/>
            <w:vAlign w:val="center"/>
          </w:tcPr>
          <w:p w14:paraId="461B864F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 xml:space="preserve">课程类型</w:t>
            </w:r>
          </w:p>
        </w:tc>
        <w:tc>
          <w:tcPr>
            <w:tcW w:w="5136" w:type="dxa"/>
            <w:vAlign w:val="center"/>
          </w:tcPr>
          <w:p w14:paraId="499A648E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 xml:space="preserve">□公共必修课  专业必修课</w:t>
            </w:r>
          </w:p>
          <w:p w14:paraId="499A648E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 xml:space="preserve">□公共选修课  □专业选修课</w:t>
            </w:r>
          </w:p>
        </w:tc>
      </w:tr>
      <w:tr w14:paraId="491D7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0" w:hRule="atLeast"/>
          <w:jc w:val="center"/>
        </w:trPr>
        <w:tc>
          <w:tcPr>
            <w:tcW w:w="3625" w:type="dxa"/>
            <w:vAlign w:val="center"/>
          </w:tcPr>
          <w:p w14:paraId="44BCF410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 xml:space="preserve">授课学期</w:t>
            </w:r>
          </w:p>
        </w:tc>
        <w:tc>
          <w:tcPr>
            <w:tcW w:w="5136" w:type="dxa"/>
            <w:vAlign w:val="center"/>
          </w:tcPr>
          <w:p w14:paraId="2CBB4CC7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 xml:space="preserve">2026 - 2027 学年第一学期</w:t>
            </w:r>
          </w:p>
        </w:tc>
      </w:tr>
      <w:tr w14:paraId="7A480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4" w:hRule="atLeast"/>
          <w:jc w:val="center"/>
        </w:trPr>
        <w:tc>
          <w:tcPr>
            <w:tcW w:w="3625" w:type="dxa"/>
            <w:vAlign w:val="center"/>
          </w:tcPr>
          <w:p w14:paraId="7F394159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 xml:space="preserve">授课专业及班级</w:t>
            </w:r>
          </w:p>
        </w:tc>
        <w:tc>
          <w:tcPr>
            <w:tcW w:w="5136" w:type="dxa"/>
            <w:vAlign w:val="center"/>
          </w:tcPr>
          <w:p w14:paraId="64CA2F0E">
            <w:pPr>
              <w:pStyle w:val="3"/>
              <w:jc w:val="center"/>
              <w:rPr>
                <w:rFonts w:hint="default" w:ascii="方正黑体_GBK" w:hAnsi="方正黑体_GBK" w:eastAsia="方正黑体_GBK" w:cs="方正黑体_GBK"/>
                <w:b w:val="0"/>
                <w:bCs w:val="0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 xml:space="preserve">2026级工业互联网应用专业1～2班</w:t>
            </w:r>
          </w:p>
        </w:tc>
      </w:tr>
      <w:tr w14:paraId="32E60F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7" w:hRule="atLeast"/>
          <w:jc w:val="center"/>
        </w:trPr>
        <w:tc>
          <w:tcPr>
            <w:tcW w:w="3625" w:type="dxa"/>
            <w:vAlign w:val="center"/>
          </w:tcPr>
          <w:p w14:paraId="6D99D578">
            <w:pPr>
              <w:pStyle w:val="3"/>
              <w:jc w:val="center"/>
              <w:rPr>
                <w:rFonts w:hint="default" w:ascii="方正黑体_GBK" w:hAnsi="方正黑体_GBK" w:eastAsia="方正黑体_GBK" w:cs="方正黑体_GBK"/>
                <w:b w:val="0"/>
                <w:bCs w:val="0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lang w:val="en-US" w:eastAsia="zh-CN"/>
              </w:rPr>
              <w:t xml:space="preserve">教学方式</w:t>
            </w:r>
            <w:bookmarkStart w:id="0" w:name="_GoBack"/>
            <w:bookmarkEnd w:id="0"/>
          </w:p>
        </w:tc>
        <w:tc>
          <w:tcPr>
            <w:tcW w:w="5136" w:type="dxa"/>
            <w:vAlign w:val="center"/>
          </w:tcPr>
          <w:p w14:paraId="3850B934">
            <w:pPr>
              <w:pStyle w:val="3"/>
              <w:jc w:val="both"/>
              <w:rPr>
                <w:rFonts w:hint="default"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default" w:ascii="方正黑体_GBK" w:hAnsi="方正黑体_GBK" w:eastAsia="方正黑体_GBK" w:cs="方正黑体_GBK"/>
                <w:b w:val="0"/>
                <w:bCs w:val="0"/>
              </w:rPr>
              <w:t xml:space="preserve">德国双元制本土化六步法课堂化实施——“资讯·计划”环节以线上导学单课前完成；课堂80分钟时间盒（2课时×40分钟）：决策（10分钟，备选方案对比+决策矩阵）→实施（55分钟，两轮）→检查（自检—互检—师查三层质检）→评价（10分钟，量表反馈）；“体验→应用→优化”三段式教学法（费曼学习法ABCD层师徒制）；技术路线CPU优先、训练与推理分离</w:t>
            </w:r>
          </w:p>
        </w:tc>
      </w:tr>
      <w:tr w14:paraId="50FE0C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7" w:hRule="atLeast"/>
          <w:jc w:val="center"/>
        </w:trPr>
        <w:tc>
          <w:tcPr>
            <w:tcW w:w="3625" w:type="dxa"/>
            <w:vAlign w:val="center"/>
          </w:tcPr>
          <w:p w14:paraId="459D2A2B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 xml:space="preserve">考核方式</w:t>
            </w:r>
          </w:p>
        </w:tc>
        <w:tc>
          <w:tcPr>
            <w:tcW w:w="5136" w:type="dxa"/>
            <w:vAlign w:val="center"/>
          </w:tcPr>
          <w:p w14:paraId="2125670C">
            <w:pPr>
              <w:pStyle w:val="3"/>
              <w:jc w:val="both"/>
              <w:rPr>
                <w:rFonts w:hint="eastAsia" w:ascii="方正黑体_GBK" w:hAnsi="方正黑体_GBK" w:eastAsia="方正黑体_GBK" w:cs="方正黑体_GBK"/>
                <w:b w:val="0"/>
                <w:bCs w:val="0"/>
                <w:lang w:eastAsia="zh-CN"/>
              </w:rPr>
            </w:pPr>
            <w:r>
              <w:rPr>
                <w:rFonts w:ascii="方正黑体_GBK" w:hAnsi="方正黑体_GBK" w:eastAsia="方正黑体_GBK" w:cs="方正黑体_GBK"/>
                <w:b w:val="0"/>
                <w:bCs w:val="0"/>
              </w:rPr>
              <w:t xml:space="preserve">过程性评价（80%）：课堂参与度（10%）、代码质量（10%）、创新与深化（10%）、工单任务完成度（50%）。</w:t>
            </w:r>
          </w:p>
          <w:p w14:paraId="2125670C">
            <w:pPr>
              <w:pStyle w:val="3"/>
              <w:jc w:val="both"/>
              <w:rPr>
                <w:rFonts w:hint="eastAsia" w:ascii="方正黑体_GBK" w:hAnsi="方正黑体_GBK" w:eastAsia="方正黑体_GBK" w:cs="方正黑体_GBK"/>
                <w:b w:val="0"/>
                <w:bCs w:val="0"/>
                <w:lang w:eastAsia="zh-CN"/>
              </w:rPr>
            </w:pPr>
            <w:r>
              <w:rPr>
                <w:rFonts w:ascii="方正黑体_GBK" w:hAnsi="方正黑体_GBK" w:eastAsia="方正黑体_GBK" w:cs="方正黑体_GBK"/>
                <w:b w:val="0"/>
                <w:bCs w:val="0"/>
              </w:rPr>
              <w:t xml:space="preserve">工单任务各项详细占比如下：M1.1泵类设备故障诊断系统（6.25%）；M1.2特征工程优化的故障诊断系统（6.25%）；M2.1工业焊接缺陷检测系统（6.25%）；M2.2轴承寿命预测系统（6.25%）；M3.1产品表面缺陷尺寸测量系统（6.25%）；M3.2产线实时缺陷检测系统（6.25%）；M4.1工业故障报告自动分类系统（6.25%）；M4.2工业智能决策助手系统（6.25%）。</w:t>
            </w:r>
          </w:p>
          <w:p w14:paraId="2125670C">
            <w:pPr>
              <w:pStyle w:val="3"/>
              <w:jc w:val="both"/>
              <w:rPr>
                <w:rFonts w:hint="eastAsia" w:ascii="方正黑体_GBK" w:hAnsi="方正黑体_GBK" w:eastAsia="方正黑体_GBK" w:cs="方正黑体_GBK"/>
                <w:b w:val="0"/>
                <w:bCs w:val="0"/>
                <w:lang w:eastAsia="zh-CN"/>
              </w:rPr>
            </w:pPr>
            <w:r>
              <w:rPr>
                <w:rFonts w:ascii="方正黑体_GBK" w:hAnsi="方正黑体_GBK" w:eastAsia="方正黑体_GBK" w:cs="方正黑体_GBK"/>
                <w:b w:val="0"/>
                <w:bCs w:val="0"/>
              </w:rPr>
              <w:t xml:space="preserve">期末考试（20%）：</w:t>
            </w:r>
          </w:p>
          <w:p w14:paraId="2125670C">
            <w:pPr>
              <w:pStyle w:val="3"/>
              <w:jc w:val="both"/>
              <w:rPr>
                <w:rFonts w:hint="eastAsia" w:ascii="方正黑体_GBK" w:hAnsi="方正黑体_GBK" w:eastAsia="方正黑体_GBK" w:cs="方正黑体_GBK"/>
                <w:b w:val="0"/>
                <w:bCs w:val="0"/>
                <w:lang w:eastAsia="zh-CN"/>
              </w:rPr>
            </w:pPr>
            <w:r>
              <w:rPr>
                <w:rFonts w:ascii="方正黑体_GBK" w:hAnsi="方正黑体_GBK" w:eastAsia="方正黑体_GBK" w:cs="方正黑体_GBK"/>
                <w:b w:val="0"/>
                <w:bCs w:val="0"/>
              </w:rPr>
              <w:t xml:space="preserve">综合项目上机操作与答辩</w:t>
            </w:r>
          </w:p>
          <w:p w14:paraId="2125670C">
            <w:pPr>
              <w:pStyle w:val="3"/>
              <w:jc w:val="both"/>
              <w:rPr>
                <w:rFonts w:hint="eastAsia" w:ascii="方正黑体_GBK" w:hAnsi="方正黑体_GBK" w:eastAsia="方正黑体_GBK" w:cs="方正黑体_GBK"/>
                <w:b w:val="0"/>
                <w:bCs w:val="0"/>
                <w:lang w:eastAsia="zh-CN"/>
              </w:rPr>
            </w:pPr>
            <w:r>
              <w:rPr>
                <w:rFonts w:ascii="方正黑体_GBK" w:hAnsi="方正黑体_GBK" w:eastAsia="方正黑体_GBK" w:cs="方正黑体_GBK"/>
                <w:b w:val="0"/>
                <w:bCs w:val="0"/>
              </w:rPr>
              <w:t xml:space="preserve">工单采用D/C/B/A四级量表评分（量表随工单任务书发放）；课堂“小步成功”（每次课人人有可运行成果）纳入课堂参与度观测点</w:t>
            </w:r>
          </w:p>
        </w:tc>
      </w:tr>
      <w:tr w14:paraId="3F380D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2" w:hRule="atLeast"/>
          <w:jc w:val="center"/>
        </w:trPr>
        <w:tc>
          <w:tcPr>
            <w:tcW w:w="3625" w:type="dxa"/>
            <w:vAlign w:val="center"/>
          </w:tcPr>
          <w:p w14:paraId="553365FD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 xml:space="preserve">周学时/总学时</w:t>
            </w:r>
          </w:p>
        </w:tc>
        <w:tc>
          <w:tcPr>
            <w:tcW w:w="5136" w:type="dxa"/>
            <w:vAlign w:val="center"/>
          </w:tcPr>
          <w:p w14:paraId="1F06965F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 xml:space="preserve">2/16</w:t>
            </w:r>
          </w:p>
        </w:tc>
      </w:tr>
    </w:tbl>
    <w:p w14:paraId="6784EDCE">
      <w:pPr>
        <w:rPr>
          <w:rFonts w:ascii="Times New Roman" w:hAnsi="Times New Roman"/>
          <w:b/>
          <w:bCs/>
          <w:sz w:val="32"/>
          <w:szCs w:val="32"/>
        </w:rPr>
        <w:sectPr>
          <w:pgSz w:w="11906" w:h="16838"/>
          <w:pgMar w:top="1417" w:right="1417" w:bottom="1417" w:left="1417" w:header="851" w:footer="1474" w:gutter="0"/>
          <w:pgNumType w:fmt="numberInDash"/>
          <w:cols w:space="0" w:num="1"/>
          <w:docGrid w:type="lines" w:linePitch="312" w:charSpace="0"/>
        </w:sectPr>
      </w:pPr>
    </w:p>
    <w:tbl>
      <w:tblPr>
        <w:tblStyle w:val="9"/>
        <w:tblW w:w="14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8"/>
        <w:gridCol w:w="3558"/>
        <w:gridCol w:w="557"/>
        <w:gridCol w:w="533"/>
        <w:gridCol w:w="3173"/>
        <w:gridCol w:w="1861"/>
        <w:gridCol w:w="1918"/>
        <w:gridCol w:w="1162"/>
      </w:tblGrid>
      <w:tr w14:paraId="6F01B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0" w:hRule="atLeast"/>
        </w:trPr>
        <w:tc>
          <w:tcPr>
            <w:tcW w:w="14000" w:type="dxa"/>
            <w:gridSpan w:val="8"/>
            <w:vAlign w:val="center"/>
          </w:tcPr>
          <w:p w14:paraId="42025848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b/>
                <w:bCs/>
                <w:sz w:val="24"/>
              </w:rPr>
              <w:t>教学内容与学时分配</w:t>
            </w:r>
          </w:p>
        </w:tc>
      </w:tr>
      <w:tr w14:paraId="2EABA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1238" w:type="dxa"/>
            <w:vAlign w:val="center"/>
          </w:tcPr>
          <w:p w14:paraId="2CE8A624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周别</w:t>
            </w:r>
          </w:p>
        </w:tc>
        <w:tc>
          <w:tcPr>
            <w:tcW w:w="3558" w:type="dxa"/>
            <w:vAlign w:val="center"/>
          </w:tcPr>
          <w:p w14:paraId="41A53AB0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授课内容</w:t>
            </w:r>
          </w:p>
        </w:tc>
        <w:tc>
          <w:tcPr>
            <w:tcW w:w="557" w:type="dxa"/>
            <w:vAlign w:val="center"/>
          </w:tcPr>
          <w:p w14:paraId="7C99F278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理论学时</w:t>
            </w:r>
          </w:p>
        </w:tc>
        <w:tc>
          <w:tcPr>
            <w:tcW w:w="533" w:type="dxa"/>
            <w:vAlign w:val="center"/>
          </w:tcPr>
          <w:p w14:paraId="021059DB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实践学时</w:t>
            </w:r>
          </w:p>
        </w:tc>
        <w:tc>
          <w:tcPr>
            <w:tcW w:w="3173" w:type="dxa"/>
            <w:vAlign w:val="center"/>
          </w:tcPr>
          <w:p w14:paraId="076477FC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教学目标</w:t>
            </w:r>
          </w:p>
        </w:tc>
        <w:tc>
          <w:tcPr>
            <w:tcW w:w="1861" w:type="dxa"/>
            <w:vAlign w:val="center"/>
          </w:tcPr>
          <w:p w14:paraId="7EA53E2C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教学重难点</w:t>
            </w:r>
          </w:p>
        </w:tc>
        <w:tc>
          <w:tcPr>
            <w:tcW w:w="1918" w:type="dxa"/>
            <w:vAlign w:val="center"/>
          </w:tcPr>
          <w:p w14:paraId="01EF6EC5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重难点解决措施</w:t>
            </w:r>
          </w:p>
        </w:tc>
        <w:tc>
          <w:tcPr>
            <w:tcW w:w="1162" w:type="dxa"/>
            <w:vAlign w:val="center"/>
          </w:tcPr>
          <w:p w14:paraId="335E71DA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课后任务</w:t>
            </w:r>
          </w:p>
        </w:tc>
      </w:tr>
      <w:tr w14:paraId="66281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1238" w:type="dxa"/>
            <w:vAlign w:val="center"/>
          </w:tcPr>
          <w:p w14:paraId="7FC76D7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第五周</w:t>
            </w:r>
          </w:p>
        </w:tc>
        <w:tc>
          <w:tcPr>
            <w:tcW w:w="3558" w:type="dxa"/>
            <w:vAlign w:val="center"/>
          </w:tcPr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⚙ 项目载体：重庆两江智造集团·设备智能运维中心｜周一早会，运维中心大屏跳出黄色预警：3号泵站振动连续三日爬升。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模块一：机器学习与故障诊断——泵类设备故障诊断系统开发（W5–W6）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本周主题：分类算法认知 + scikit-learn建模体验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授课内容：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第1次课——“让机器学会判断设备是否故障”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机器学习与工业AI认知：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（1）监督学习、分类与回归的基本概念与适用场景；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（2）逻辑回归、决策树、随机森林三类分类算法的原理直观对比；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（3）模型评估指标：准确率、精确率、召回率、F1值的含义与计算；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（4）工业故障诊断业务逻辑：数据→特征→模型→决策的完整链条。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演示与工单项目M1.1实验：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（1）演示3个分类模型在泵类设备故障诊断中的实际应用与优缺点对比；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（2）使用scikit-learn加载设备运行数据（转速、温度、压力、振动）；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（3）数据预处理与训练集/测试集划分，训练分类模型并预测新样本；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（4）评估模型并解读各指标；知识补充：模型即对象——属性（参数）与方法（predict、score），用类封装模型与数据处理流程。</w:t>
            </w:r>
          </w:p>
        </w:tc>
        <w:tc>
          <w:tcPr>
            <w:tcW w:w="557" w:type="dxa"/>
            <w:vAlign w:val="center"/>
          </w:tcPr>
          <w:p w14:paraId="4270536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1</w:t>
            </w:r>
          </w:p>
        </w:tc>
        <w:tc>
          <w:tcPr>
            <w:tcW w:w="533" w:type="dxa"/>
            <w:vAlign w:val="center"/>
          </w:tcPr>
          <w:p w14:paraId="13F5D51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1</w:t>
            </w:r>
          </w:p>
        </w:tc>
        <w:tc>
          <w:tcPr>
            <w:tcW w:w="3173" w:type="dxa"/>
            <w:vAlign w:val="center"/>
          </w:tcPr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知识目标： 理解监督学习、分类与回归的基本概念；掌握逻辑回归、决策树、随机森林的原理与适用场景；理解准确率、精确率、召回率、F1值四项评估指标的含义。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能力目标： 能够使用scikit-learn加载预训练模型并对新的故障数据进行预测；能够计算并解读模型评估指标；能够用OOP方式封装模型调用流程。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素质目标： 树立数据驱动的工程决策意识，理解AI技术在设备健康管理（PHM）中的岗位价值，培养“工业互联网现场工程师”的职业认同。</w:t>
            </w:r>
          </w:p>
        </w:tc>
        <w:tc>
          <w:tcPr>
            <w:tcW w:w="1861" w:type="dxa"/>
            <w:vAlign w:val="center"/>
          </w:tcPr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机器学习基础——重点：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监督学习与分类的概念；逻辑回归、决策树、随机森林的直观原理与适用场景；四项评估指标的含义与业务解读。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难点：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精确率与召回率的权衡关系及其在工业故障诊断中的代价差异（漏报与误报）；从“写代码”到“用模型”的思维方式转变。</w:t>
            </w:r>
          </w:p>
        </w:tc>
        <w:tc>
          <w:tcPr>
            <w:tcW w:w="1918" w:type="dxa"/>
            <w:vAlign w:val="center"/>
          </w:tcPr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采用“体检报告”类比讲解精确率/召回率，用故障诊断漏报、误报的真实损失数据强化理解；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提供“模型选择决策矩阵”（精度/速度/可解释性三维打分），小组据矩阵决策选型并写入工单，答辩时作为必答题（决策与实施绑定）；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对基础薄弱学生提供“模型调用五步模板”（加载→划分→训练→预测→评估），确保最低完成线；数据加载仅用NumPy实现，不依赖Pandas（规避与《Python编程基础》第8周排课依赖）。</w:t>
            </w:r>
          </w:p>
        </w:tc>
        <w:tc>
          <w:tcPr>
            <w:tcW w:w="1162" w:type="dxa"/>
            <w:vAlign w:val="center"/>
          </w:tcPr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完成工单项目M1.1《泵类设备故障诊断系统》：模型准确率≥0.75，能清晰说明各评估指标的含义；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撰写实验记录：记录三个分类模型在同一数据集上的指标对比表；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预习特征工程相关内容（数据归一化、标准化）。</w:t>
            </w:r>
          </w:p>
        </w:tc>
      </w:tr>
      <w:tr w14:paraId="66281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1238" w:type="dxa"/>
            <w:vAlign w:val="center"/>
          </w:tcPr>
          <w:p w14:paraId="7FC76D7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第六周</w:t>
            </w:r>
          </w:p>
        </w:tc>
        <w:tc>
          <w:tcPr>
            <w:tcW w:w="3558" w:type="dxa"/>
            <w:vAlign w:val="center"/>
          </w:tcPr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⚙ 项目载体：重庆两江智造集团·设备智能运维中心｜你的M1.1模型上线试跑，准确率78%，但老周在周会上指出：上周轴承磨损被误报成正常两次。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本周主题：特征工程 + 模型调优实战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授课内容：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第2次课——“喂给模型好数据，模型才聪明”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特征工程理论精讲：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（1）特征构建：从原始工业数据到有效特征的变换方法（差值、比值、统计量）；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（2）数据归一化（Min-Max）与标准化（Z-score）的原理与选择依据；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（3）不平衡数据处理：故障样本不足时的过采样与欠采样策略；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（4）模型超参数调优基础：网格搜索（GridSearchCV）与交叉验证。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工单项目M1.2实验（80分钟）：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（1）对M1.1故障数据进行探索性分析与特征构建；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（2）尝试不同预处理方法并对比模型性能差异；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（3）使用交叉验证评估模型稳定性，完成性能对比报告。</w:t>
            </w:r>
          </w:p>
        </w:tc>
        <w:tc>
          <w:tcPr>
            <w:tcW w:w="557" w:type="dxa"/>
            <w:vAlign w:val="center"/>
          </w:tcPr>
          <w:p w14:paraId="4270536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0</w:t>
            </w:r>
          </w:p>
        </w:tc>
        <w:tc>
          <w:tcPr>
            <w:tcW w:w="533" w:type="dxa"/>
            <w:vAlign w:val="center"/>
          </w:tcPr>
          <w:p w14:paraId="13F5D51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3173" w:type="dxa"/>
            <w:vAlign w:val="center"/>
          </w:tcPr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知识目标： 掌握特征构建、归一化与标准化的方法；理解不平衡数据处理策略与超参数调优的基本流程。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能力目标： 能够对工业数据进行特征工程并使模型准确率提升≥5%；能够使用交叉验证评估模型稳定性并撰写性能对比分析。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素质目标： 培养“数据质量决定模型上限”的工程严谨态度，形成通过实验对比验证方案优劣的科学思维。</w:t>
            </w:r>
          </w:p>
        </w:tc>
        <w:tc>
          <w:tcPr>
            <w:tcW w:w="1861" w:type="dxa"/>
            <w:vAlign w:val="center"/>
          </w:tcPr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特征工程——重点：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特征构建方法；归一化与标准化的计算与适用场景；交叉验证的流程与作用。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难点：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针对具体工业数据选择合适的预处理组合；理解特征工程对模型性能提升的因果关系而非盲目堆砌技巧。</w:t>
            </w:r>
          </w:p>
        </w:tc>
        <w:tc>
          <w:tcPr>
            <w:tcW w:w="1918" w:type="dxa"/>
            <w:vAlign w:val="center"/>
          </w:tcPr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提供“特征工程检查清单”（数据探索→缺失处理→变换→缩放→验证），引导学生按流程推进；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设置消融实验任务：逐步添加预处理环节并记录指标变化，让改进效果可视化；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组织“谁的模型更准”小组竞赛，用同一测试集排名激发优化动力。</w:t>
            </w:r>
          </w:p>
        </w:tc>
        <w:tc>
          <w:tcPr>
            <w:tcW w:w="1162" w:type="dxa"/>
            <w:vAlign w:val="center"/>
          </w:tcPr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完成工单项目M1.2《特征工程优化的故障诊断系统》：准确率较M1.1提升≥5%，优秀标准提升≥10%且F1值≥0.80；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整理特征工程改进思路说明（不少于3种优化方法）；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预习神经网络的基本概念。</w:t>
            </w:r>
          </w:p>
        </w:tc>
      </w:tr>
      <w:tr w14:paraId="66281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1238" w:type="dxa"/>
            <w:vAlign w:val="center"/>
          </w:tcPr>
          <w:p w14:paraId="7FC76D7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第七周</w:t>
            </w:r>
          </w:p>
        </w:tc>
        <w:tc>
          <w:tcPr>
            <w:tcW w:w="3558" w:type="dxa"/>
            <w:vAlign w:val="center"/>
          </w:tcPr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⚙ 项目载体：重庆两江智造集团·设备智能运维中心｜质检科求助：焊接机器人 nightly 抽检靠老师傅目视，夜班漏检率高。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模块二：深度学习与工业预测——焊接缺陷检测与轴承寿命预测（W7–W8）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本周主题：神经网络认知 + CNN缺陷检测体验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授课内容：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第3次课——“看得懂缺陷的神经网络”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神经网络与CNN理论（30分钟，只讲直观原理，不推导公式）：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（1）神经网络的基本结构：层、节点、权重、偏置与激活函数；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（2）卷积神经网络（CNN）的基本概念：卷积核、特征图、池化；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（3）工业缺陷检测应用：表面裂纹、焊接气孔、夹渣等缺陷的识别流程。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演示与工单项目M2.1实验：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（1）演示CNN识别工业表面缺陷的实时效果与特征图、注意力图可视化；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（2）加载预训练CNN模型，对焊接图像（无缺陷、气孔、夹渣、裂纹4类）进行推理；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（3）图像标准化预处理、模型推理与评估；知识补充：神经网络即多层对象（Input→Layer→Output），用Sequential API面向对象地构建模型。</w:t>
            </w:r>
          </w:p>
        </w:tc>
        <w:tc>
          <w:tcPr>
            <w:tcW w:w="557" w:type="dxa"/>
            <w:vAlign w:val="center"/>
          </w:tcPr>
          <w:p w14:paraId="4270536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1</w:t>
            </w:r>
          </w:p>
        </w:tc>
        <w:tc>
          <w:tcPr>
            <w:tcW w:w="533" w:type="dxa"/>
            <w:vAlign w:val="center"/>
          </w:tcPr>
          <w:p w14:paraId="13F5D51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1</w:t>
            </w:r>
          </w:p>
        </w:tc>
        <w:tc>
          <w:tcPr>
            <w:tcW w:w="3173" w:type="dxa"/>
            <w:vAlign w:val="center"/>
          </w:tcPr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知识目标： 理解神经网络的基本结构与前向传播概念；掌握CNN在缺陷检测中的应用原理；了解迁移学习的基本思想。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能力目标： 能够使用预训练CNN模型完成工业焊接缺陷检测（准确率≥0.80）；能够上传测试图片并得到预测结果。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素质目标： 理解深度学习“黑盒”特性的可解释性需求，树立模型可视化与结果验证的科学态度。</w:t>
            </w:r>
          </w:p>
        </w:tc>
        <w:tc>
          <w:tcPr>
            <w:tcW w:w="1861" w:type="dxa"/>
            <w:vAlign w:val="center"/>
          </w:tcPr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CNN缺陷检测——重点：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神经网络层级结构的直观理解；卷积操作与特征图的概念；预训练模型的使用流程（加载→预处理→推理→评估）。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难点：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卷积、池化等抽象概念的直观建立；理解输入数据尺寸、通道与模型输入要求之间的对应关系。</w:t>
            </w:r>
          </w:p>
        </w:tc>
        <w:tc>
          <w:tcPr>
            <w:tcW w:w="1918" w:type="dxa"/>
            <w:vAlign w:val="center"/>
          </w:tcPr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用“手电筒扫照片”类比卷积核滑动，配合动画演示卷积过程，降低抽象度；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提供封装好的推理代码框架，学生聚焦“换数据、看结果、读指标”三步，避免陷入框架细节；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对学有余力学生开放特征图可视化任务，帮助建立“模型看到什么”的直觉。</w:t>
            </w:r>
          </w:p>
        </w:tc>
        <w:tc>
          <w:tcPr>
            <w:tcW w:w="1162" w:type="dxa"/>
            <w:vAlign w:val="center"/>
          </w:tcPr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完成工单项目M2.1《工业焊接缺陷检测系统》：准确率≥0.80，优秀标准≥0.88并完成特征图可视化或数据增强尝试；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收集5张含缺陷的工业图片并用模型检测，记录结果；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预习时间序列数据的基本特性。</w:t>
            </w:r>
          </w:p>
        </w:tc>
      </w:tr>
      <w:tr w14:paraId="66281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1238" w:type="dxa"/>
            <w:vAlign w:val="center"/>
          </w:tcPr>
          <w:p w14:paraId="7FC76D7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第八周</w:t>
            </w:r>
          </w:p>
        </w:tc>
        <w:tc>
          <w:tcPr>
            <w:tcW w:w="3558" w:type="dxa"/>
            <w:vAlign w:val="center"/>
          </w:tcPr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⚙ 项目载体：重庆两江智造集团·设备智能运维中心｜焊缝检测初见成效，方总监在集团例会上点名表扬。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本周主题：LSTM时序建模 + 轴承寿命预测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授课内容：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第4次课——“预知设备的剩余寿命”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时间序列与LSTM理论认知：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（1）循环神经网络（RNN）与LSTM的基本概念：记忆单元、时序依赖；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（2）时间序列数据的特性：趋势、周期、噪声；滑动窗口构建样本的方法；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（3）工业参数预测场景：设备剩余使用寿命（RUL）预测、功耗预测；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（4）预测误差指标：MSE、RMSE、MAE的含义。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工单项目M2.2实验（80分钟）：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（1）轴承振动时间序列数据预处理与滑动窗口样本构建；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（2）构建并训练LSTM模型，进行剩余寿命预测；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（3）对比LSTM与传统方法的预测误差，可视化预测曲线。</w:t>
            </w:r>
          </w:p>
        </w:tc>
        <w:tc>
          <w:tcPr>
            <w:tcW w:w="557" w:type="dxa"/>
            <w:vAlign w:val="center"/>
          </w:tcPr>
          <w:p w14:paraId="4270536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0</w:t>
            </w:r>
          </w:p>
        </w:tc>
        <w:tc>
          <w:tcPr>
            <w:tcW w:w="533" w:type="dxa"/>
            <w:vAlign w:val="center"/>
          </w:tcPr>
          <w:p w14:paraId="13F5D51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3173" w:type="dxa"/>
            <w:vAlign w:val="center"/>
          </w:tcPr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知识目标： 理解RNN/LSTM处理时序数据的基本原理；掌握MSE、RMSE、MAE误差指标的含义；了解迁移学习与预训练模型的使用。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能力目标： 能够使用LSTM完成轴承寿命预测（MSE&lt;0.15）；能够对比多种模型并解读预测结果的业务意义。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素质目标： 建立“预测性维护”的工程价值认知，培养用数据支撑维护决策的责任意识。</w:t>
            </w:r>
          </w:p>
        </w:tc>
        <w:tc>
          <w:tcPr>
            <w:tcW w:w="1861" w:type="dxa"/>
            <w:vAlign w:val="center"/>
          </w:tcPr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LSTM时序预测——重点：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滑动窗口样本构建方法；LSTM模型的训练与验证流程；预测误差指标的计算与解读。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难点：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从“表格数据”到“时序数据”的样本组织方式转变；训练数据与预测目标的对应关系理解。</w:t>
            </w:r>
          </w:p>
        </w:tc>
        <w:tc>
          <w:tcPr>
            <w:tcW w:w="1918" w:type="dxa"/>
            <w:vAlign w:val="center"/>
          </w:tcPr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用“看前7天温度预测第8天”的生活案例讲解滑动窗口，再迁移到轴承退化数据；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提供数据窗口化的可视化脚本，让学生“看见”每个样本的输入与标签；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设置基础/进阶双轨：基础轨完成单模型预测，进阶轨完成LSTM与ARIMA对比。</w:t>
            </w:r>
          </w:p>
        </w:tc>
        <w:tc>
          <w:tcPr>
            <w:tcW w:w="1162" w:type="dxa"/>
            <w:vAlign w:val="center"/>
          </w:tcPr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完成工单项目M2.2《轴承寿命预测系统》：MSE&lt;0.15，优秀标准&lt;0.10并对比多种模型；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撰写预测结果业务解读：说明预测误差对维护计划的影响；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预习数字图像基础（像素、色彩空间）。</w:t>
            </w:r>
          </w:p>
        </w:tc>
      </w:tr>
      <w:tr w14:paraId="66281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1238" w:type="dxa"/>
            <w:vAlign w:val="center"/>
          </w:tcPr>
          <w:p w14:paraId="7FC76D7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第九周</w:t>
            </w:r>
          </w:p>
        </w:tc>
        <w:tc>
          <w:tcPr>
            <w:tcW w:w="3558" w:type="dxa"/>
            <w:vAlign w:val="center"/>
          </w:tcPr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⚙ 项目载体：重庆两江智造集团·设备智能运维中心｜质检线来了新任务：一批精密结构件表面划痕/凹坑要全检，卡尺抽检跟不上节拍。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模块三：计算机视觉与缺陷检测——产线视觉检测系统开发（W9–W10）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本周主题：图像处理基础 + 缺陷尺寸测量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授课内容：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第5次课——“给产品做一次视觉体检”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数字图像处理理论（30分钟）：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（1）数字图像基础：像素、分辨率、色彩空间（RGB/GRAY/HSV）；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（2）图像处理操作：滤波去噪、边缘检测（Canny）、形态学操作（腐蚀/膨胀）；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（3）特征提取与描述子概念（HOG、SIFT）；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（4）工业应用：产线自动化检测的典型流程（采集→预处理→分割→测量→判定）。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演示与工单项目M3.1实验：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（1）演示边缘检测、轮廓提取在产线检测中的实时应用；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（2）使用OpenCV读取产品表面图像，进行灰度化、滤波、阈值分割；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（3）轮廓检测与缺陷尺寸（长度、面积）计算，结果标注输出。</w:t>
            </w:r>
          </w:p>
        </w:tc>
        <w:tc>
          <w:tcPr>
            <w:tcW w:w="557" w:type="dxa"/>
            <w:vAlign w:val="center"/>
          </w:tcPr>
          <w:p w14:paraId="4270536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1</w:t>
            </w:r>
          </w:p>
        </w:tc>
        <w:tc>
          <w:tcPr>
            <w:tcW w:w="533" w:type="dxa"/>
            <w:vAlign w:val="center"/>
          </w:tcPr>
          <w:p w14:paraId="13F5D51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1</w:t>
            </w:r>
          </w:p>
        </w:tc>
        <w:tc>
          <w:tcPr>
            <w:tcW w:w="3173" w:type="dxa"/>
            <w:vAlign w:val="center"/>
          </w:tcPr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知识目标： 理解像素、色彩空间、直方图等图像基础概念；掌握滤波、边缘检测、形态学操作的原理与用途；理解工业视觉系统的架构。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能力目标： 能够使用OpenCV完成图像预处理与缺陷检测，尺寸测量误差&lt;10%（优秀&lt;5%）；能够对检测结果进行标注与可视化。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素质目标： 体会机器视觉替代人工目检的质量与效率价值，培养精益求精的检测标准意识。</w:t>
            </w:r>
          </w:p>
        </w:tc>
        <w:tc>
          <w:tcPr>
            <w:tcW w:w="1861" w:type="dxa"/>
            <w:vAlign w:val="center"/>
          </w:tcPr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图像处理与测量——重点：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灰度化、滤波、阈值分割、轮廓检测的处理链条；像素当量标定与尺寸换算方法。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难点：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阈值参数对分割结果的影响与调参策略；从轮廓面积（像素）到物理尺寸（毫米）的换算理解。</w:t>
            </w:r>
          </w:p>
        </w:tc>
        <w:tc>
          <w:tcPr>
            <w:tcW w:w="1918" w:type="dxa"/>
            <w:vAlign w:val="center"/>
          </w:tcPr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采用“同一图片不同阈值”对比实验法，让学生直观掌握参数敏感性；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提供像素当量标定演示（已知尺寸的参照物），把物理换算讲透；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分层任务：C/D层完成单缺陷检测，A/B层完成多类型缺陷检测与误差分析。</w:t>
            </w:r>
          </w:p>
        </w:tc>
        <w:tc>
          <w:tcPr>
            <w:tcW w:w="1162" w:type="dxa"/>
            <w:vAlign w:val="center"/>
          </w:tcPr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完成工单项目M3.1《产品表面缺陷尺寸测量系统》：正确检测并标注缺陷，测量误差&lt;10%，优秀标准&lt;5%且结果美观清晰；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记录不同滤波参数下的处理效果对比；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预习YOLO物体检测的基本概念。</w:t>
            </w:r>
          </w:p>
        </w:tc>
      </w:tr>
      <w:tr w14:paraId="66281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1238" w:type="dxa"/>
            <w:vAlign w:val="center"/>
          </w:tcPr>
          <w:p w14:paraId="7FC76D7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第十周</w:t>
            </w:r>
          </w:p>
        </w:tc>
        <w:tc>
          <w:tcPr>
            <w:tcW w:w="3558" w:type="dxa"/>
            <w:vAlign w:val="center"/>
          </w:tcPr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⚙ 项目载体：重庆两江智造集团·设备智能运维中心｜产线节拍升级到3秒/件，人工复判又成瓶颈。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本周主题：YOLO实时检测 + 质检系统集成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授课内容：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第6次课——“毫秒级发现产线缺陷”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YOLO与实时检测技术：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（1）YOLO（YOLOv5/YOLOv8）物体检测算法的核心思想：一次前向传播完成多目标检测；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（2）检测输出解读：边界框、置信度、类别概率、mAP指标；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（3）数据集准备与标注（labelimg）方法（教师演示）；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（4）模型部署与性能优化：推理速度（FPS）与精度的平衡；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（5）工业质检系统完整架构：图像采集→推理→判定→剔除→统计。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工单项目M3.2实验（80分钟，CPU机房可完整实施）：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（1）使用教师提供的YOLOv8n预训练模型（离线权重包）进行CPU实时推理；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（2）对电子产品、包装图像进行缺陷检测（≥3类）；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（3）性能优化：调整输入尺寸、置信度阈值，测试并提升推理速度（FPS）；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（4）模型微调由教师GPU端演示，云端训练为课后选做（训练与推理分离）。</w:t>
            </w:r>
          </w:p>
        </w:tc>
        <w:tc>
          <w:tcPr>
            <w:tcW w:w="557" w:type="dxa"/>
            <w:vAlign w:val="center"/>
          </w:tcPr>
          <w:p w14:paraId="4270536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0</w:t>
            </w:r>
          </w:p>
        </w:tc>
        <w:tc>
          <w:tcPr>
            <w:tcW w:w="533" w:type="dxa"/>
            <w:vAlign w:val="center"/>
          </w:tcPr>
          <w:p w14:paraId="13F5D51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3173" w:type="dxa"/>
            <w:vAlign w:val="center"/>
          </w:tcPr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知识目标： 掌握YOLO算法的核心思想与输出结构；理解mAP、FPS等检测指标的含义；了解工业质检系统的完整架构。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能力目标： 能够使用YOLOv8建立产线实时缺陷检测系统（mAP≥0.70，优秀≥0.80且推理速度较默认配置提升≥50%）；能够优化推理性能。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素质目标： 建立系统级工程视角，理解算法精度与生产节拍（实时性）之间的工程权衡。</w:t>
            </w:r>
          </w:p>
        </w:tc>
        <w:tc>
          <w:tcPr>
            <w:tcW w:w="1861" w:type="dxa"/>
            <w:vAlign w:val="center"/>
          </w:tcPr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YOLO实时检测——重点：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YOLO检测输出的解读（边界框、置信度）；预训练模型的调用与微调流程；mAP与FPS指标的含义。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难点：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检测阈值的工程选择（过松漏检、过严误检）；精度与速度的权衡调优思路。</w:t>
            </w:r>
          </w:p>
        </w:tc>
        <w:tc>
          <w:tcPr>
            <w:tcW w:w="1918" w:type="dxa"/>
            <w:vAlign w:val="center"/>
          </w:tcPr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用摄像头实时检测课堂物品的演示开场，建立“实时”的直观感受；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提供离线预训练权重包（YOLOv8n）与已标注小型缺陷数据集，学生体验“推理→评估→阈值优化”全流程，机房无外网、无GPU均可完整实施；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组织FPS优化小竞赛（相同精度下比速度），强化工程优化意识；模型微调由教师GPU端演示回放。</w:t>
            </w:r>
          </w:p>
        </w:tc>
        <w:tc>
          <w:tcPr>
            <w:tcW w:w="1162" w:type="dxa"/>
            <w:vAlign w:val="center"/>
          </w:tcPr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完成工单项目M3.2《产线实时缺陷检测系统》：mAP≥0.70，优秀标准mAP≥0.80且推理速度较默认配置（imgsz=640）提升≥50%、检测结果可视化完善；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撰写精度—速度权衡分析记录；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预习中文分词与文本分类概念。</w:t>
            </w:r>
          </w:p>
        </w:tc>
      </w:tr>
      <w:tr w14:paraId="66281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1238" w:type="dxa"/>
            <w:vAlign w:val="center"/>
          </w:tcPr>
          <w:p w14:paraId="7FC76D7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第十一周</w:t>
            </w:r>
          </w:p>
        </w:tc>
        <w:tc>
          <w:tcPr>
            <w:tcW w:w="3558" w:type="dxa"/>
            <w:vAlign w:val="center"/>
          </w:tcPr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⚙ 项目载体：重庆两江智造集团·设备智能运维中心｜运维知识库积压了三年故障报修单，派单全靠调度员经验。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模块四：NLP与大模型应用——工业智能问答与决策支持（W11–W12）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本周主题：文本处理 + 故障报告自动分类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授课内容：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第7次课——“让机器读懂故障报告”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NLP基础理论（30分钟）：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（1）自然语言处理概述与工业应用（故障说明分类、工程文档管理）；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（2）文本预处理：分词（jieba）、去停用词；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（3）文本向量化：词袋模型、TF-IDF；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（4）文本分类与情感分析的基本流程。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演示与工单项目M4.1实验：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（1）演示NLP模型处理中文故障报告的效果；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（2）使用jieba对工业故障说明文本进行中文分词；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（3）TF-IDF特征提取与分类模型训练（≥5类故障）；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（4）评估分类准确率并解释关键词贡献；知识补充：TextVectorizer类与TextClassifier类的OOP设计。</w:t>
            </w:r>
          </w:p>
        </w:tc>
        <w:tc>
          <w:tcPr>
            <w:tcW w:w="557" w:type="dxa"/>
            <w:vAlign w:val="center"/>
          </w:tcPr>
          <w:p w14:paraId="4270536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1</w:t>
            </w:r>
          </w:p>
        </w:tc>
        <w:tc>
          <w:tcPr>
            <w:tcW w:w="533" w:type="dxa"/>
            <w:vAlign w:val="center"/>
          </w:tcPr>
          <w:p w14:paraId="13F5D51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1</w:t>
            </w:r>
          </w:p>
        </w:tc>
        <w:tc>
          <w:tcPr>
            <w:tcW w:w="3173" w:type="dxa"/>
            <w:vAlign w:val="center"/>
          </w:tcPr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知识目标： 理解文本预处理、分词、向量化（TF-IDF）的基本原理；掌握文本分类的完整流程；理解大语言模型（LLM）的基本概念。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能力目标： 能够使用jieba与TF-IDF完成工业故障报告自动分类（准确率≥0.75，优秀≥0.85）；能够解释关键词对分类结果的贡献。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素质目标： 认识非结构化文本数据的价值，培养将现场经验沉淀为知识库的数据资产意识。</w:t>
            </w:r>
          </w:p>
        </w:tc>
        <w:tc>
          <w:tcPr>
            <w:tcW w:w="1861" w:type="dxa"/>
            <w:vAlign w:val="center"/>
          </w:tcPr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文本分类——重点：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分词与去停用词的作用；TF-IDF向量化原理；文本分类模型的训练与评估流程。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难点：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从“文字”到“向量”的抽象转换理解；类别不均衡的故障语料对分类效果的影响及应对。</w:t>
            </w:r>
          </w:p>
        </w:tc>
        <w:tc>
          <w:tcPr>
            <w:tcW w:w="1918" w:type="dxa"/>
            <w:vAlign w:val="center"/>
          </w:tcPr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用“菜谱配料表”类比词袋模型、用“关键词 rarity”讲TF-IDF权重，降低抽象度；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提供清洗好的工业故障语料库（≥200条、5类），学生聚焦建模而非数据清洗；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引导对比不同分类器（朴素贝叶斯/逻辑回归）在文本上的表现差异。</w:t>
            </w:r>
          </w:p>
        </w:tc>
        <w:tc>
          <w:tcPr>
            <w:tcW w:w="1162" w:type="dxa"/>
            <w:vAlign w:val="center"/>
          </w:tcPr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完成工单项目M4.1《工业故障报告自动分类系统》：准确率≥0.75，优秀标准≥0.85且能解释关键词贡献、结果可视化；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每人收集10条真实风格的设备故障描述，扩充班级语料库；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预习Prompt工程与大模型API调用方式。</w:t>
            </w:r>
          </w:p>
        </w:tc>
      </w:tr>
      <w:tr w14:paraId="66281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1238" w:type="dxa"/>
            <w:vAlign w:val="center"/>
          </w:tcPr>
          <w:p w14:paraId="7FC76D7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第十二周</w:t>
            </w:r>
          </w:p>
        </w:tc>
        <w:tc>
          <w:tcPr>
            <w:tcW w:w="3558" w:type="dxa"/>
            <w:vAlign w:val="center"/>
          </w:tcPr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⚙ 项目载体：重庆两江智造集团·设备智能运维中心｜收官之课。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本周主题：大模型应用 + 智能体系统构建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授课内容：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第8次课——“打造工业现场的智能决策助手”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大模型与智能体技术：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（1）大语言模型（LLM）基础：ChatGPT、文心一言、通义千问的能力边界；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（2）Prompt工程：角色设定、上下文、示例引导等提示词优化技巧；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（3）检索增强生成（RAG）：知识库+LLM的问答架构；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（4）智能体（Agent）系统：多步推理、工具调用链；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（5）工业应用：智能问答、文档理解、决策支持。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演示与工单项目M4.2实验（60分钟，离线可用）：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（1）演示LLM工业问答与RAG检索效果、简单智能体的决策过程；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（2）通过本地模拟LLM服务（离线可用、OpenAI兼容接口）调用大模型解决工业问题，优化Prompt获得更精准回答（课内必做）；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（3）构建简单RAG系统（工业规范知识库+查询）；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（4）设计Agent类、Tool类、KnowledgeBase类，实现多步推理与工具调用链；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（5）真实国产大模型API为课后选做（企业数据脱敏合规前置）；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（6）课程总结与综合项目布置。</w:t>
            </w:r>
          </w:p>
        </w:tc>
        <w:tc>
          <w:tcPr>
            <w:tcW w:w="557" w:type="dxa"/>
            <w:vAlign w:val="center"/>
          </w:tcPr>
          <w:p w14:paraId="4270536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0</w:t>
            </w:r>
          </w:p>
        </w:tc>
        <w:tc>
          <w:tcPr>
            <w:tcW w:w="533" w:type="dxa"/>
            <w:vAlign w:val="center"/>
          </w:tcPr>
          <w:p w14:paraId="13F5D51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3173" w:type="dxa"/>
            <w:vAlign w:val="center"/>
          </w:tcPr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知识目标： 理解LLM、Prompt工程、RAG、Agent的基本概念与相互关系；掌握大模型API调用的基本方法。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能力目标： 能够构建集成LLM与知识库的工业智能决策助手（正确回答≥5个典型工业问题）；能够设计Agent类、Tool类并实现多步推理。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素质目标： 树立AI伦理与数据安全意识（企业数据不出域），培养追踪前沿技术并落地工业场景的创新精神。</w:t>
            </w:r>
          </w:p>
        </w:tc>
        <w:tc>
          <w:tcPr>
            <w:tcW w:w="1861" w:type="dxa"/>
            <w:vAlign w:val="center"/>
          </w:tcPr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大模型应用——重点：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Prompt工程的优化技巧；RAG系统的“检索+生成”架构；Agent多步推理与工具调用的实现思路。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难点：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知识库切分与检索质量对RAG效果的影响；LLM输出不稳定时的工程化容错处理（重试、校验、降级）。</w:t>
            </w:r>
          </w:p>
        </w:tc>
        <w:tc>
          <w:tcPr>
            <w:tcW w:w="1918" w:type="dxa"/>
            <w:vAlign w:val="center"/>
          </w:tcPr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采用“同一个问题、三种Prompt”对比演示，让Prompt优化效果直接可见；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提供RAG最小可运行框架（文档切分→向量化→检索→生成），学生替换知识库内容即可完成工单；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强调企业数据合规：演示使用本地知识库+云端模型的数据脱敏处理方式。</w:t>
            </w:r>
          </w:p>
        </w:tc>
        <w:tc>
          <w:tcPr>
            <w:tcW w:w="1162" w:type="dxa"/>
            <w:vAlign w:val="center"/>
          </w:tcPr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完成工单项目M4.2《工业智能决策助手系统》：正确回答≥5个典型工业问题，优秀标准≥10个、支持多轮对话且Agent推理过程清晰；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完成课程学习总结（各模块知识图谱）；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准备综合项目：自选1个工业场景，设计完整AI应用系统方案。</w:t>
            </w:r>
          </w:p>
        </w:tc>
      </w:tr>
      <w:tr w14:paraId="7DDBFD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atLeast"/>
        </w:trPr>
        <w:tc>
          <w:tcPr>
            <w:tcW w:w="1238" w:type="dxa"/>
            <w:vAlign w:val="center"/>
          </w:tcPr>
          <w:p w14:paraId="4B667662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</w:p>
        </w:tc>
        <w:tc>
          <w:tcPr>
            <w:tcW w:w="3558" w:type="dxa"/>
            <w:vAlign w:val="center"/>
          </w:tcPr>
          <w:p w14:paraId="32B22FA6">
            <w:pPr>
              <w:spacing w:line="320" w:lineRule="exact"/>
              <w:jc w:val="center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  <w:r>
              <w:rPr>
                <w:rFonts w:hint="eastAsia" w:ascii="方正小标宋_GBK" w:hAnsi="方正小标宋_GBK" w:eastAsia="方正小标宋_GBK" w:cs="方正小标宋_GBK"/>
                <w:sz w:val="24"/>
              </w:rPr>
              <w:t>合计</w:t>
            </w:r>
          </w:p>
        </w:tc>
        <w:tc>
          <w:tcPr>
            <w:tcW w:w="557" w:type="dxa"/>
            <w:vAlign w:val="center"/>
          </w:tcPr>
          <w:p w14:paraId="54F07DF7">
            <w:pPr>
              <w:spacing w:line="320" w:lineRule="exact"/>
              <w:jc w:val="center"/>
              <w:rPr>
                <w:rFonts w:hint="default" w:ascii="方正小标宋_GBK" w:hAnsi="方正小标宋_GBK" w:eastAsia="方正小标宋_GBK" w:cs="方正小标宋_GBK"/>
                <w:sz w:val="24"/>
                <w:lang w:val="en-US" w:eastAsia="zh-CN"/>
              </w:rPr>
            </w:pPr>
            <w:r>
              <w:rPr>
                <w:rFonts w:hint="eastAsia" w:ascii="方正小标宋_GBK" w:hAnsi="方正小标宋_GBK" w:eastAsia="方正小标宋_GBK" w:cs="方正小标宋_GBK"/>
                <w:sz w:val="24"/>
                <w:lang w:val="en-US" w:eastAsia="zh-CN"/>
              </w:rPr>
              <w:t xml:space="preserve">4</w:t>
            </w:r>
          </w:p>
        </w:tc>
        <w:tc>
          <w:tcPr>
            <w:tcW w:w="533" w:type="dxa"/>
            <w:vAlign w:val="center"/>
          </w:tcPr>
          <w:p w14:paraId="2F0A833F">
            <w:pPr>
              <w:spacing w:line="320" w:lineRule="exact"/>
              <w:jc w:val="center"/>
              <w:rPr>
                <w:rFonts w:hint="default" w:ascii="方正小标宋_GBK" w:hAnsi="方正小标宋_GBK" w:eastAsia="方正小标宋_GBK" w:cs="方正小标宋_GBK"/>
                <w:sz w:val="24"/>
                <w:lang w:val="en-US" w:eastAsia="zh-CN"/>
              </w:rPr>
            </w:pPr>
            <w:r>
              <w:rPr>
                <w:rFonts w:hint="eastAsia" w:ascii="方正小标宋_GBK" w:hAnsi="方正小标宋_GBK" w:eastAsia="方正小标宋_GBK" w:cs="方正小标宋_GBK"/>
                <w:sz w:val="24"/>
                <w:lang w:val="en-US" w:eastAsia="zh-CN"/>
              </w:rPr>
              <w:t xml:space="preserve">12</w:t>
            </w:r>
          </w:p>
        </w:tc>
        <w:tc>
          <w:tcPr>
            <w:tcW w:w="3173" w:type="dxa"/>
            <w:vAlign w:val="center"/>
          </w:tcPr>
          <w:p w14:paraId="7A3A586F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  <w:tc>
          <w:tcPr>
            <w:tcW w:w="1861" w:type="dxa"/>
            <w:vAlign w:val="center"/>
          </w:tcPr>
          <w:p w14:paraId="4FF44EA7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  <w:tc>
          <w:tcPr>
            <w:tcW w:w="1918" w:type="dxa"/>
            <w:vAlign w:val="center"/>
          </w:tcPr>
          <w:p w14:paraId="1976B96D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  <w:tc>
          <w:tcPr>
            <w:tcW w:w="1162" w:type="dxa"/>
            <w:vAlign w:val="center"/>
          </w:tcPr>
          <w:p w14:paraId="4BDC28AD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</w:tr>
      <w:tr w14:paraId="6057C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238" w:type="dxa"/>
            <w:vAlign w:val="center"/>
          </w:tcPr>
          <w:p w14:paraId="34E2FA07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</w:p>
        </w:tc>
        <w:tc>
          <w:tcPr>
            <w:tcW w:w="3558" w:type="dxa"/>
            <w:vAlign w:val="center"/>
          </w:tcPr>
          <w:p w14:paraId="1874EACB">
            <w:pPr>
              <w:spacing w:line="320" w:lineRule="exact"/>
              <w:jc w:val="center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  <w:r>
              <w:rPr>
                <w:rFonts w:hint="eastAsia" w:ascii="方正小标宋_GBK" w:hAnsi="方正小标宋_GBK" w:eastAsia="方正小标宋_GBK" w:cs="方正小标宋_GBK"/>
                <w:sz w:val="24"/>
              </w:rPr>
              <w:t>总计</w:t>
            </w:r>
          </w:p>
        </w:tc>
        <w:tc>
          <w:tcPr>
            <w:tcW w:w="1090" w:type="dxa"/>
            <w:gridSpan w:val="2"/>
            <w:vAlign w:val="center"/>
          </w:tcPr>
          <w:p w14:paraId="27EFC688">
            <w:pPr>
              <w:spacing w:line="320" w:lineRule="exact"/>
              <w:jc w:val="center"/>
              <w:rPr>
                <w:rFonts w:hint="default" w:ascii="方正小标宋_GBK" w:hAnsi="方正小标宋_GBK" w:eastAsia="方正小标宋_GBK" w:cs="方正小标宋_GBK"/>
                <w:sz w:val="24"/>
                <w:lang w:val="en-US" w:eastAsia="zh-CN"/>
              </w:rPr>
            </w:pPr>
            <w:r>
              <w:rPr>
                <w:rFonts w:hint="eastAsia" w:ascii="方正小标宋_GBK" w:hAnsi="方正小标宋_GBK" w:eastAsia="方正小标宋_GBK" w:cs="方正小标宋_GBK"/>
                <w:sz w:val="24"/>
                <w:lang w:val="en-US" w:eastAsia="zh-CN"/>
              </w:rPr>
              <w:t xml:space="preserve">16</w:t>
            </w:r>
          </w:p>
        </w:tc>
        <w:tc>
          <w:tcPr>
            <w:tcW w:w="3173" w:type="dxa"/>
            <w:vAlign w:val="center"/>
          </w:tcPr>
          <w:p w14:paraId="463F5E5C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  <w:tc>
          <w:tcPr>
            <w:tcW w:w="1861" w:type="dxa"/>
            <w:vAlign w:val="center"/>
          </w:tcPr>
          <w:p w14:paraId="418AE306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  <w:tc>
          <w:tcPr>
            <w:tcW w:w="1918" w:type="dxa"/>
            <w:vAlign w:val="center"/>
          </w:tcPr>
          <w:p w14:paraId="630EB669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  <w:tc>
          <w:tcPr>
            <w:tcW w:w="1162" w:type="dxa"/>
            <w:vAlign w:val="center"/>
          </w:tcPr>
          <w:p w14:paraId="3F37C3C8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</w:tr>
      <w:tr w14:paraId="3DC08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1" w:hRule="atLeast"/>
        </w:trPr>
        <w:tc>
          <w:tcPr>
            <w:tcW w:w="14000" w:type="dxa"/>
            <w:gridSpan w:val="8"/>
            <w:vAlign w:val="center"/>
          </w:tcPr>
          <w:p w14:paraId="631029D0">
            <w:pPr>
              <w:spacing w:line="320" w:lineRule="exact"/>
              <w:jc w:val="left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说明：1.授课教师请按任务书学时编制授课计划。     </w:t>
            </w:r>
          </w:p>
          <w:p w14:paraId="5A123726">
            <w:pPr>
              <w:spacing w:line="320" w:lineRule="exact"/>
              <w:ind w:firstLine="720" w:firstLineChars="300"/>
              <w:jc w:val="left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2.节假日放假占据的学时要列在授课计划中。    </w:t>
            </w:r>
          </w:p>
          <w:p w14:paraId="0D592332">
            <w:pPr>
              <w:spacing w:line="320" w:lineRule="exact"/>
              <w:ind w:firstLine="720" w:firstLineChars="300"/>
              <w:jc w:val="left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3.授课计划不能随意调动和变化。</w:t>
            </w:r>
          </w:p>
          <w:p w14:paraId="7AB98208">
            <w:pPr>
              <w:spacing w:line="320" w:lineRule="exact"/>
              <w:ind w:firstLine="720" w:firstLineChars="300"/>
              <w:jc w:val="left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4.学时以2学时为一个单元编制。</w:t>
            </w:r>
          </w:p>
        </w:tc>
      </w:tr>
    </w:tbl>
    <w:p w14:paraId="78C9DC95">
      <w:pPr>
        <w:rPr>
          <w:rFonts w:ascii="Times New Roman" w:hAnsi="Times New Roman"/>
        </w:rPr>
      </w:pPr>
    </w:p>
    <w:p w14:paraId="3493B2DA">
      <w:pPr>
        <w:spacing w:line="594" w:lineRule="exact"/>
        <w:rPr>
          <w:rFonts w:ascii="Times New Roman" w:hAnsi="Times New Roman" w:eastAsia="方正仿宋_GBK" w:cs="方正仿宋_GBK"/>
          <w:b/>
          <w:bCs/>
          <w:sz w:val="24"/>
          <w:szCs w:val="32"/>
        </w:rPr>
      </w:pPr>
      <w:r>
        <w:rPr>
          <w:rFonts w:hint="eastAsia" w:ascii="Times New Roman" w:hAnsi="Times New Roman" w:eastAsia="方正仿宋_GBK" w:cs="方正仿宋_GBK"/>
          <w:b/>
          <w:bCs/>
          <w:sz w:val="24"/>
          <w:szCs w:val="32"/>
        </w:rPr>
        <w:t xml:space="preserve">任课教师签字：                               教研室主任：                       专业负责人：       </w:t>
      </w:r>
    </w:p>
    <w:p w14:paraId="3D08454E">
      <w:pPr>
        <w:spacing w:line="594" w:lineRule="exact"/>
        <w:rPr>
          <w:rFonts w:ascii="Times New Roman" w:hAnsi="Times New Roman" w:eastAsia="方正仿宋_GBK" w:cs="方正仿宋_GBK"/>
          <w:b/>
          <w:bCs/>
          <w:sz w:val="24"/>
          <w:szCs w:val="32"/>
        </w:rPr>
      </w:pPr>
      <w:r>
        <w:rPr>
          <w:rFonts w:hint="eastAsia" w:ascii="Times New Roman" w:hAnsi="Times New Roman" w:eastAsia="方正仿宋_GBK" w:cs="方正仿宋_GBK"/>
          <w:b/>
          <w:bCs/>
          <w:sz w:val="24"/>
          <w:szCs w:val="32"/>
        </w:rPr>
        <w:t>院长签字：                                   教务处审核：                        填表时间：</w:t>
      </w:r>
    </w:p>
    <w:sectPr>
      <w:footerReference r:id="rId3" w:type="default"/>
      <w:pgSz w:w="16838" w:h="11906" w:orient="landscape"/>
      <w:pgMar w:top="1984" w:right="1446" w:bottom="1644" w:left="1446" w:header="851" w:footer="1474" w:gutter="0"/>
      <w:pgNumType w:fmt="numberInDash" w:start="1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_GBK">
    <w:panose1 w:val="03000509000000000000"/>
    <w:charset w:val="86"/>
    <w:family w:val="script"/>
    <w:pitch w:val="default"/>
    <w:sig w:usb0="00000001" w:usb1="080E0000" w:usb2="00000000" w:usb3="00000000" w:csb0="00040000" w:csb1="00000000"/>
    <w:embedRegular r:id="rId1" w:fontKey="{D894D142-CB95-46FD-B2D3-4A2C8BC21B23}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方正黑体_GBK">
    <w:panose1 w:val="03000509000000000000"/>
    <w:charset w:val="86"/>
    <w:family w:val="auto"/>
    <w:pitch w:val="default"/>
    <w:sig w:usb0="00000001" w:usb1="080E0000" w:usb2="00000000" w:usb3="00000000" w:csb0="00040000" w:csb1="00000000"/>
    <w:embedRegular r:id="rId2" w:fontKey="{CB12BE1E-88E0-459D-9B4D-C43536CE2DD1}"/>
  </w:font>
  <w:font w:name="方正仿宋_GBK">
    <w:panose1 w:val="03000509000000000000"/>
    <w:charset w:val="86"/>
    <w:family w:val="auto"/>
    <w:pitch w:val="default"/>
    <w:sig w:usb0="00000001" w:usb1="080E0000" w:usb2="00000000" w:usb3="00000000" w:csb0="00040000" w:csb1="00000000"/>
    <w:embedRegular r:id="rId3" w:fontKey="{4D700268-082E-402A-9026-C6127A437CA5}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4" w:fontKey="{219A7BEE-299A-40BF-A831-71867B8B96C9}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4F64A8">
    <w:pPr>
      <w:pStyle w:val="5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DCE83B5">
                          <w:pPr>
                            <w:pStyle w:val="5"/>
                            <w:ind w:left="210" w:leftChars="100" w:right="210" w:rightChars="100"/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ascii="宋体" w:hAnsi="宋体" w:eastAsia="宋体" w:cs="宋体"/>
                              <w:sz w:val="28"/>
                              <w:szCs w:val="28"/>
                            </w:rPr>
                            <w:t>- 1 -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VhjD8rAgAAVQ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NJ&#10;WO7QAAAABQEAAA8AAAAAAAAAAQAgAAAAIgAAAGRycy9kb3ducmV2LnhtbFBLAQIUABQAAAAIAIdO&#10;4kAFYYw/KwIAAFUEAAAOAAAAAAAAAAEAIAAAAB8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DCE83B5">
                    <w:pPr>
                      <w:pStyle w:val="5"/>
                      <w:ind w:left="210" w:leftChars="100" w:right="210" w:rightChars="100"/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ascii="宋体" w:hAnsi="宋体" w:eastAsia="宋体" w:cs="宋体"/>
                        <w:sz w:val="28"/>
                        <w:szCs w:val="28"/>
                      </w:rPr>
                      <w:t>- 1 -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TrueTypeFonts/>
  <w:saveSubsetFonts/>
  <w:bordersDoNotSurroundHeader w:val="0"/>
  <w:bordersDoNotSurroundFooter w:val="0"/>
  <w:documentProtection w:enforcement="0"/>
  <w:defaultTabStop w:val="420"/>
  <w:drawingGridHorizontalSpacing w:val="21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xZGZmODEwN2NmNGEzMDBhMjE0Mjk0MmExYjc3ZDcifQ=="/>
    <w:docVar w:name="KSO_WPS_MARK_KEY" w:val="275e2eab-afa0-401d-89c4-8937ac50be95"/>
  </w:docVars>
  <w:rsids>
    <w:rsidRoot w:val="00FE326F"/>
    <w:rsid w:val="0001746B"/>
    <w:rsid w:val="00232811"/>
    <w:rsid w:val="004932CE"/>
    <w:rsid w:val="00505830"/>
    <w:rsid w:val="00907EB0"/>
    <w:rsid w:val="0094056D"/>
    <w:rsid w:val="009C4185"/>
    <w:rsid w:val="00B77E2D"/>
    <w:rsid w:val="00FE326F"/>
    <w:rsid w:val="037E0200"/>
    <w:rsid w:val="039B5B6E"/>
    <w:rsid w:val="07724402"/>
    <w:rsid w:val="07E67424"/>
    <w:rsid w:val="08AB646D"/>
    <w:rsid w:val="09293C1C"/>
    <w:rsid w:val="09CF790E"/>
    <w:rsid w:val="0A72235A"/>
    <w:rsid w:val="0B2E5519"/>
    <w:rsid w:val="0BB3579C"/>
    <w:rsid w:val="0CE06691"/>
    <w:rsid w:val="0D470B14"/>
    <w:rsid w:val="10111DEE"/>
    <w:rsid w:val="13EF359A"/>
    <w:rsid w:val="1557567A"/>
    <w:rsid w:val="15DF5D8E"/>
    <w:rsid w:val="175C51BC"/>
    <w:rsid w:val="18251E5F"/>
    <w:rsid w:val="184773CA"/>
    <w:rsid w:val="18E53FD2"/>
    <w:rsid w:val="18F7B71A"/>
    <w:rsid w:val="19BE344F"/>
    <w:rsid w:val="1A393593"/>
    <w:rsid w:val="1B3F3CD9"/>
    <w:rsid w:val="1EE172CA"/>
    <w:rsid w:val="1EFF77E4"/>
    <w:rsid w:val="1F791EE8"/>
    <w:rsid w:val="1FEA4D18"/>
    <w:rsid w:val="1FFE18DC"/>
    <w:rsid w:val="234445A9"/>
    <w:rsid w:val="23535F81"/>
    <w:rsid w:val="23BCBD16"/>
    <w:rsid w:val="25FB4663"/>
    <w:rsid w:val="26037A24"/>
    <w:rsid w:val="26EF4A14"/>
    <w:rsid w:val="27144C27"/>
    <w:rsid w:val="2CBD3F75"/>
    <w:rsid w:val="2D854CE8"/>
    <w:rsid w:val="2DA37249"/>
    <w:rsid w:val="2E0C2E11"/>
    <w:rsid w:val="2E89643F"/>
    <w:rsid w:val="2EA46D27"/>
    <w:rsid w:val="2ECE02F6"/>
    <w:rsid w:val="2F7F11EA"/>
    <w:rsid w:val="2F874166"/>
    <w:rsid w:val="30DA7426"/>
    <w:rsid w:val="32FA5796"/>
    <w:rsid w:val="33A057DC"/>
    <w:rsid w:val="34ED18B3"/>
    <w:rsid w:val="35A149B6"/>
    <w:rsid w:val="35BE22C9"/>
    <w:rsid w:val="3AC60AFD"/>
    <w:rsid w:val="3BBD50DE"/>
    <w:rsid w:val="3BE75E0F"/>
    <w:rsid w:val="3C9E1C4F"/>
    <w:rsid w:val="3DB4423A"/>
    <w:rsid w:val="3DFF7568"/>
    <w:rsid w:val="3E5FFB8A"/>
    <w:rsid w:val="3EBA0D2E"/>
    <w:rsid w:val="3EDF7CFE"/>
    <w:rsid w:val="3F7E2D88"/>
    <w:rsid w:val="3FBD32CD"/>
    <w:rsid w:val="3FD7BF02"/>
    <w:rsid w:val="3FDBADDF"/>
    <w:rsid w:val="3FFB8C07"/>
    <w:rsid w:val="3FFD6D90"/>
    <w:rsid w:val="3FFF7B2E"/>
    <w:rsid w:val="3FFFFEA5"/>
    <w:rsid w:val="40EF7984"/>
    <w:rsid w:val="41DF489C"/>
    <w:rsid w:val="41F93484"/>
    <w:rsid w:val="423A3C12"/>
    <w:rsid w:val="42AD6D26"/>
    <w:rsid w:val="42E22404"/>
    <w:rsid w:val="44DFC3CB"/>
    <w:rsid w:val="460C6B11"/>
    <w:rsid w:val="47401871"/>
    <w:rsid w:val="47BF5FC4"/>
    <w:rsid w:val="47F646ED"/>
    <w:rsid w:val="47FFF5A4"/>
    <w:rsid w:val="49CB3958"/>
    <w:rsid w:val="49FFDAA4"/>
    <w:rsid w:val="4A724FA0"/>
    <w:rsid w:val="4B4C441F"/>
    <w:rsid w:val="4B7B979F"/>
    <w:rsid w:val="4C267E2F"/>
    <w:rsid w:val="4C4179AC"/>
    <w:rsid w:val="4F4A3C34"/>
    <w:rsid w:val="4FDBD1ED"/>
    <w:rsid w:val="4FFFEBA7"/>
    <w:rsid w:val="537D6035"/>
    <w:rsid w:val="537E56B2"/>
    <w:rsid w:val="538204B6"/>
    <w:rsid w:val="53FF3AC4"/>
    <w:rsid w:val="54F63B49"/>
    <w:rsid w:val="55BF872A"/>
    <w:rsid w:val="57E51FF2"/>
    <w:rsid w:val="587A3144"/>
    <w:rsid w:val="58826206"/>
    <w:rsid w:val="58982A9A"/>
    <w:rsid w:val="5A290952"/>
    <w:rsid w:val="5A4A16DE"/>
    <w:rsid w:val="5B6E7605"/>
    <w:rsid w:val="5BD92797"/>
    <w:rsid w:val="5BDE7CF3"/>
    <w:rsid w:val="5BEA2363"/>
    <w:rsid w:val="5CF7ED4C"/>
    <w:rsid w:val="5D9910FC"/>
    <w:rsid w:val="5D9F423A"/>
    <w:rsid w:val="5E331DA0"/>
    <w:rsid w:val="5F5F8F80"/>
    <w:rsid w:val="5FDB7FD4"/>
    <w:rsid w:val="63F62454"/>
    <w:rsid w:val="63FBC0E9"/>
    <w:rsid w:val="640D3093"/>
    <w:rsid w:val="64A357A5"/>
    <w:rsid w:val="64E70858"/>
    <w:rsid w:val="677E01F7"/>
    <w:rsid w:val="679F4002"/>
    <w:rsid w:val="67BD1ECB"/>
    <w:rsid w:val="67CF535A"/>
    <w:rsid w:val="6B1B5E29"/>
    <w:rsid w:val="6BDDDD56"/>
    <w:rsid w:val="6BFB7BF5"/>
    <w:rsid w:val="6D464F20"/>
    <w:rsid w:val="6DFB2BBF"/>
    <w:rsid w:val="6EAE7221"/>
    <w:rsid w:val="6EFF3724"/>
    <w:rsid w:val="6F6F20AC"/>
    <w:rsid w:val="6FB63D6B"/>
    <w:rsid w:val="6FBA9717"/>
    <w:rsid w:val="6FBDC4F0"/>
    <w:rsid w:val="6FD3421B"/>
    <w:rsid w:val="6FFFB42A"/>
    <w:rsid w:val="70264800"/>
    <w:rsid w:val="71900E5F"/>
    <w:rsid w:val="71FF2BD8"/>
    <w:rsid w:val="729A7468"/>
    <w:rsid w:val="755C3532"/>
    <w:rsid w:val="759E7FEF"/>
    <w:rsid w:val="75C03F21"/>
    <w:rsid w:val="76BB9A44"/>
    <w:rsid w:val="76CE7AD1"/>
    <w:rsid w:val="777AC3A8"/>
    <w:rsid w:val="77BB49C2"/>
    <w:rsid w:val="77EBC6C3"/>
    <w:rsid w:val="77FE5D19"/>
    <w:rsid w:val="79ED50A1"/>
    <w:rsid w:val="7A4F9E8C"/>
    <w:rsid w:val="7B6C9A11"/>
    <w:rsid w:val="7C65617C"/>
    <w:rsid w:val="7CF60F14"/>
    <w:rsid w:val="7D5E1BBA"/>
    <w:rsid w:val="7DF65FE2"/>
    <w:rsid w:val="7E2A0F16"/>
    <w:rsid w:val="7ED7D4DB"/>
    <w:rsid w:val="7EDF957C"/>
    <w:rsid w:val="7EF777E7"/>
    <w:rsid w:val="7F1AAEF0"/>
    <w:rsid w:val="7F37E249"/>
    <w:rsid w:val="7F7F357B"/>
    <w:rsid w:val="7F7FF4EF"/>
    <w:rsid w:val="7FBE020E"/>
    <w:rsid w:val="7FBED1FC"/>
    <w:rsid w:val="7FCE7723"/>
    <w:rsid w:val="7FE5420B"/>
    <w:rsid w:val="7FEEB1ED"/>
    <w:rsid w:val="7FEF8CF5"/>
    <w:rsid w:val="9FCFBF13"/>
    <w:rsid w:val="9FFF12BE"/>
    <w:rsid w:val="ADAE03D1"/>
    <w:rsid w:val="ADED9C49"/>
    <w:rsid w:val="AFFFB502"/>
    <w:rsid w:val="B2FFD1B4"/>
    <w:rsid w:val="B63D12DE"/>
    <w:rsid w:val="B6FF5599"/>
    <w:rsid w:val="B79DB5B5"/>
    <w:rsid w:val="B9DBC68E"/>
    <w:rsid w:val="BDE9D3F9"/>
    <w:rsid w:val="BE7B88AB"/>
    <w:rsid w:val="BFFF784F"/>
    <w:rsid w:val="C7F36AE8"/>
    <w:rsid w:val="CCFBE88E"/>
    <w:rsid w:val="CD36D215"/>
    <w:rsid w:val="CDBB8E98"/>
    <w:rsid w:val="CED92D6B"/>
    <w:rsid w:val="CFC676DC"/>
    <w:rsid w:val="D3EF82AF"/>
    <w:rsid w:val="D3FF8473"/>
    <w:rsid w:val="D67F0A14"/>
    <w:rsid w:val="D6E672CB"/>
    <w:rsid w:val="D86EA111"/>
    <w:rsid w:val="D966F65D"/>
    <w:rsid w:val="D9FD9FF9"/>
    <w:rsid w:val="DA6F567B"/>
    <w:rsid w:val="DBEFE230"/>
    <w:rsid w:val="DCFFE497"/>
    <w:rsid w:val="DD9622D9"/>
    <w:rsid w:val="DEDF8386"/>
    <w:rsid w:val="DF777AA3"/>
    <w:rsid w:val="DF9B39B5"/>
    <w:rsid w:val="DFCEF120"/>
    <w:rsid w:val="DFEDBBE1"/>
    <w:rsid w:val="DFFDDBD2"/>
    <w:rsid w:val="DFFE23EE"/>
    <w:rsid w:val="E7F99A56"/>
    <w:rsid w:val="E7FC8A7E"/>
    <w:rsid w:val="E9ED22AA"/>
    <w:rsid w:val="E9EDC885"/>
    <w:rsid w:val="EA7A87D1"/>
    <w:rsid w:val="EAB7FC46"/>
    <w:rsid w:val="EADBFA45"/>
    <w:rsid w:val="EBBF92AE"/>
    <w:rsid w:val="ED2D8160"/>
    <w:rsid w:val="EDFFD064"/>
    <w:rsid w:val="EF9FEE20"/>
    <w:rsid w:val="EFFF3D69"/>
    <w:rsid w:val="EFFFA37B"/>
    <w:rsid w:val="F3AF3595"/>
    <w:rsid w:val="F3F4849F"/>
    <w:rsid w:val="F46BD3BA"/>
    <w:rsid w:val="F53BEDE3"/>
    <w:rsid w:val="F5B36009"/>
    <w:rsid w:val="F5DAC780"/>
    <w:rsid w:val="F7AFB5C1"/>
    <w:rsid w:val="F7EB5723"/>
    <w:rsid w:val="F7EF6EE6"/>
    <w:rsid w:val="F7FFD00F"/>
    <w:rsid w:val="F95785C2"/>
    <w:rsid w:val="F9F909F0"/>
    <w:rsid w:val="FBDFDF52"/>
    <w:rsid w:val="FD7C5F8F"/>
    <w:rsid w:val="FDFB6F3F"/>
    <w:rsid w:val="FDFF4469"/>
    <w:rsid w:val="FDFF93A2"/>
    <w:rsid w:val="FEBF46BE"/>
    <w:rsid w:val="FEDF9F56"/>
    <w:rsid w:val="FEFBF555"/>
    <w:rsid w:val="FFB45ABA"/>
    <w:rsid w:val="FFBB85B0"/>
    <w:rsid w:val="FFD5495E"/>
    <w:rsid w:val="FFF4D2DD"/>
    <w:rsid w:val="FFF71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line="594" w:lineRule="exact"/>
      <w:jc w:val="center"/>
      <w:outlineLvl w:val="0"/>
    </w:pPr>
    <w:rPr>
      <w:rFonts w:ascii="Calibri" w:hAnsi="Calibri" w:eastAsia="方正小标宋_GBK" w:cs="Calibri"/>
      <w:kern w:val="44"/>
      <w:sz w:val="44"/>
      <w:szCs w:val="21"/>
    </w:rPr>
  </w:style>
  <w:style w:type="paragraph" w:styleId="3">
    <w:name w:val="heading 2"/>
    <w:basedOn w:val="1"/>
    <w:next w:val="1"/>
    <w:qFormat/>
    <w:uiPriority w:val="0"/>
    <w:pPr>
      <w:keepNext/>
      <w:keepLines/>
      <w:spacing w:line="416" w:lineRule="auto"/>
      <w:outlineLvl w:val="1"/>
    </w:pPr>
    <w:rPr>
      <w:rFonts w:ascii="Cambria" w:hAnsi="Cambria" w:cs="Times New Roman"/>
      <w:b/>
      <w:bCs/>
      <w:sz w:val="32"/>
      <w:szCs w:val="32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spacing w:line="360" w:lineRule="auto"/>
    </w:pPr>
    <w:rPr>
      <w:rFonts w:eastAsia="黑体"/>
      <w:sz w:val="28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basedOn w:val="10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11947</Words>
  <Characters>13860</Characters>
  <Lines>5</Lines>
  <Paragraphs>1</Paragraphs>
  <TotalTime>37</TotalTime>
  <ScaleCrop>false</ScaleCrop>
  <LinksUpToDate>false</LinksUpToDate>
  <CharactersWithSpaces>15263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2026-08-28T00:00:00Z</dcterms:created>
  <dc:creator>工业互联网应用专业教学资源库</dc:creator>
  <cp:lastModifiedBy>天琼恩泽</cp:lastModifiedBy>
  <dcterms:modified xsi:type="dcterms:W3CDTF">2026-08-28T00:00:00Z</dcterms:modified>
  <cp:revision>3</cp:revision>
  <cp:keywords>两江智造;第5周开课;双创中心302;岗课赛证创;课程思政</cp:keywords>
  <cp:category>高职高专教学文件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464DA5ED4CF91188703CB1689BD85E11_43</vt:lpwstr>
  </property>
  <property fmtid="{D5CDD505-2E9C-101B-9397-08002B2CF9AE}" pid="4" name="KSOTemplateDocerSaveRecord">
    <vt:lpwstr>eyJoZGlkIjoiY2QyMDRjOGQ3NzQ2NWRiNmI1MjVmODZjYzEzNDBhOWQiLCJ1c2VySWQiOiIyNDAzNTIzMSJ9</vt:lpwstr>
  </property>
</Properties>
</file>