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568D2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重庆现代制造职业学院</w:t>
      </w:r>
    </w:p>
    <w:p w14:paraId="00498727">
      <w:pPr>
        <w:pStyle w:val="2"/>
        <w:spacing w:line="700" w:lineRule="exact"/>
        <w:rPr>
          <w:rFonts w:ascii="方正黑体_GBK" w:hAnsi="方正黑体_GBK" w:eastAsia="方正黑体_GBK" w:cs="方正黑体_GBK"/>
          <w:b/>
          <w:bCs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学期教学授课计划表</w:t>
      </w:r>
    </w:p>
    <w:tbl>
      <w:tblPr>
        <w:tblStyle w:val="9"/>
        <w:tblpPr w:leftFromText="180" w:rightFromText="180" w:vertAnchor="text" w:horzAnchor="page" w:tblpXSpec="center" w:tblpY="526"/>
        <w:tblOverlap w:val="never"/>
        <w:tblW w:w="8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5136"/>
      </w:tblGrid>
      <w:tr w14:paraId="6E9A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38AB927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开课学院</w:t>
            </w:r>
          </w:p>
        </w:tc>
        <w:tc>
          <w:tcPr>
            <w:tcW w:w="5136" w:type="dxa"/>
            <w:vAlign w:val="center"/>
          </w:tcPr>
          <w:p w14:paraId="2F26DFFB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>智能控制学院</w:t>
            </w:r>
          </w:p>
        </w:tc>
      </w:tr>
      <w:tr w14:paraId="6CC9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7E3C8A7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授课教师</w:t>
            </w:r>
          </w:p>
        </w:tc>
        <w:tc>
          <w:tcPr>
            <w:tcW w:w="5136" w:type="dxa"/>
            <w:vAlign w:val="center"/>
          </w:tcPr>
          <w:p w14:paraId="61158325">
            <w:pPr>
              <w:pStyle w:val="3"/>
              <w:jc w:val="center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>宫宇伟</w:t>
            </w:r>
            <w:bookmarkStart w:id="0" w:name="_GoBack"/>
            <w:bookmarkEnd w:id="0"/>
          </w:p>
        </w:tc>
      </w:tr>
      <w:tr w14:paraId="649AA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atLeast"/>
          <w:jc w:val="center"/>
        </w:trPr>
        <w:tc>
          <w:tcPr>
            <w:tcW w:w="3625" w:type="dxa"/>
            <w:vAlign w:val="center"/>
          </w:tcPr>
          <w:p w14:paraId="75648F6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课程名称</w:t>
            </w:r>
          </w:p>
        </w:tc>
        <w:tc>
          <w:tcPr>
            <w:tcW w:w="5136" w:type="dxa"/>
            <w:vAlign w:val="center"/>
          </w:tcPr>
          <w:p w14:paraId="51E6343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>Python程序设计（项目实战）</w:t>
            </w:r>
          </w:p>
        </w:tc>
      </w:tr>
      <w:tr w14:paraId="7DBF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7" w:hRule="atLeast"/>
          <w:jc w:val="center"/>
        </w:trPr>
        <w:tc>
          <w:tcPr>
            <w:tcW w:w="3625" w:type="dxa"/>
            <w:vAlign w:val="center"/>
          </w:tcPr>
          <w:p w14:paraId="461B864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课程类型</w:t>
            </w:r>
          </w:p>
        </w:tc>
        <w:tc>
          <w:tcPr>
            <w:tcW w:w="5136" w:type="dxa"/>
            <w:vAlign w:val="center"/>
          </w:tcPr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□公共必修课  □专业必修课</w:t>
            </w:r>
          </w:p>
          <w:p w14:paraId="37C875D6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□公共选修课  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  <w:t>☑</w:t>
            </w: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专业选修课</w:t>
            </w:r>
          </w:p>
        </w:tc>
      </w:tr>
      <w:tr w14:paraId="491D7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  <w:jc w:val="center"/>
        </w:trPr>
        <w:tc>
          <w:tcPr>
            <w:tcW w:w="3625" w:type="dxa"/>
            <w:vAlign w:val="center"/>
          </w:tcPr>
          <w:p w14:paraId="44BCF410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授课学期</w:t>
            </w:r>
          </w:p>
        </w:tc>
        <w:tc>
          <w:tcPr>
            <w:tcW w:w="5136" w:type="dxa"/>
            <w:vAlign w:val="center"/>
          </w:tcPr>
          <w:p w14:paraId="2CBB4CC7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2026 - 2027 学年第二学期</w:t>
            </w:r>
          </w:p>
        </w:tc>
      </w:tr>
      <w:tr w14:paraId="7A480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  <w:jc w:val="center"/>
        </w:trPr>
        <w:tc>
          <w:tcPr>
            <w:tcW w:w="3625" w:type="dxa"/>
            <w:vAlign w:val="center"/>
          </w:tcPr>
          <w:p w14:paraId="7F394159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授课专业及班级</w:t>
            </w:r>
          </w:p>
        </w:tc>
        <w:tc>
          <w:tcPr>
            <w:tcW w:w="5136" w:type="dxa"/>
            <w:vAlign w:val="center"/>
          </w:tcPr>
          <w:p w14:paraId="64CA2F0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2025级工业互联网应用专业1～2班</w:t>
            </w:r>
          </w:p>
        </w:tc>
      </w:tr>
      <w:tr w14:paraId="32E60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6D99D578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>教学方式</w:t>
            </w:r>
          </w:p>
        </w:tc>
        <w:tc>
          <w:tcPr>
            <w:tcW w:w="5136" w:type="dxa"/>
            <w:vAlign w:val="center"/>
          </w:tcPr>
          <w:p w14:paraId="3850B934">
            <w:pPr>
              <w:pStyle w:val="3"/>
              <w:jc w:val="both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每课时40分钟、每周4课时（160分钟）；德国双元制本土化完整六步法——“资讯·计划”以线上导学单课前完成，课堂聚焦决策→实施→检查→评价；决策环节“三件套”：备选方案对比+决策矩阵打分+决策追责（实施失误回溯决策复盘）；项目驱动+融合式教学（在做项目中学知识、知识按需补充）；骨架先行（关键工单提供代码骨架/特征字典/预训练模型，4课时聚焦集成与优化）；工程实践（Git版本控制、单元测试、代码评审）；费曼学习法（ABCD层师徒制）</w:t>
            </w:r>
          </w:p>
        </w:tc>
      </w:tr>
      <w:tr w14:paraId="50FE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459D2A2B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考核方式</w:t>
            </w:r>
          </w:p>
        </w:tc>
        <w:tc>
          <w:tcPr>
            <w:tcW w:w="5136" w:type="dxa"/>
            <w:vAlign w:val="center"/>
          </w:tcPr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过程性评价（80%）：工单完成度（45%）、代码审查评价（20%）、学习投入评价（15%）。</w:t>
            </w:r>
          </w:p>
          <w:p w14:paraId="36A6DBB7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工单任务各项详细占比如下：P1.1 Python基础练习五题（5.625%）；P1.2 标准Python工程模板（5.625%）；P2.1 Pandas数据清洗管道（5.625%）；P2.2 NumPy故障特征提取系统（5.625%）；P3.1 产线KPI实时仪表盘（5.625%）；P3.2 每日生产分析报告系统（5.625%）；P4.1 多源工业数据采集系统（5.625%）；P5/P6 数据仓库与机器学习应用（5.625%）。</w:t>
            </w:r>
          </w:p>
          <w:p w14:paraId="59056D3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期末考试（20%）：</w:t>
            </w:r>
          </w:p>
          <w:p w14:paraId="36B0E464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综合项目上机操作与答辩</w:t>
            </w:r>
          </w:p>
          <w:p w14:paraId="41C88C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>代码审查评价采用评审清单（PEP 8规范/命名/注释/性能四项）；组内贡献表计入学习投入分（防搭便车）</w:t>
            </w:r>
          </w:p>
        </w:tc>
      </w:tr>
      <w:tr w14:paraId="3F380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3625" w:type="dxa"/>
            <w:vAlign w:val="center"/>
          </w:tcPr>
          <w:p w14:paraId="553365F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周学时/总学时</w:t>
            </w:r>
          </w:p>
        </w:tc>
        <w:tc>
          <w:tcPr>
            <w:tcW w:w="5136" w:type="dxa"/>
            <w:vAlign w:val="center"/>
          </w:tcPr>
          <w:p w14:paraId="1F06965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>4/32</w:t>
            </w:r>
          </w:p>
        </w:tc>
      </w:tr>
    </w:tbl>
    <w:p w14:paraId="6784EDCE">
      <w:pPr>
        <w:rPr>
          <w:rFonts w:ascii="Times New Roman" w:hAnsi="Times New Roman"/>
          <w:b/>
          <w:bCs/>
          <w:sz w:val="32"/>
          <w:szCs w:val="32"/>
        </w:rPr>
        <w:sectPr>
          <w:pgSz w:w="11906" w:h="16838"/>
          <w:pgMar w:top="1417" w:right="1417" w:bottom="1417" w:left="1417" w:header="851" w:footer="1474" w:gutter="0"/>
          <w:pgNumType w:fmt="numberInDash"/>
          <w:cols w:space="0" w:num="1"/>
          <w:docGrid w:type="lines" w:linePitch="312" w:charSpace="0"/>
        </w:sectPr>
      </w:pPr>
    </w:p>
    <w:tbl>
      <w:tblPr>
        <w:tblStyle w:val="9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558"/>
        <w:gridCol w:w="557"/>
        <w:gridCol w:w="533"/>
        <w:gridCol w:w="3173"/>
        <w:gridCol w:w="1861"/>
        <w:gridCol w:w="1918"/>
        <w:gridCol w:w="1162"/>
      </w:tblGrid>
      <w:tr w14:paraId="6F01B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4000" w:type="dxa"/>
            <w:gridSpan w:val="8"/>
            <w:vAlign w:val="center"/>
          </w:tcPr>
          <w:p w14:paraId="4202584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b/>
                <w:bCs/>
                <w:sz w:val="24"/>
              </w:rPr>
              <w:t>教学内容与学时分配</w:t>
            </w:r>
          </w:p>
        </w:tc>
      </w:tr>
      <w:tr w14:paraId="2EABA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2CE8A62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周别</w:t>
            </w:r>
          </w:p>
        </w:tc>
        <w:tc>
          <w:tcPr>
            <w:tcW w:w="3558" w:type="dxa"/>
            <w:vAlign w:val="center"/>
          </w:tcPr>
          <w:p w14:paraId="41A53A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授课内容</w:t>
            </w:r>
          </w:p>
        </w:tc>
        <w:tc>
          <w:tcPr>
            <w:tcW w:w="557" w:type="dxa"/>
            <w:vAlign w:val="center"/>
          </w:tcPr>
          <w:p w14:paraId="7C99F27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理论学时</w:t>
            </w:r>
          </w:p>
        </w:tc>
        <w:tc>
          <w:tcPr>
            <w:tcW w:w="533" w:type="dxa"/>
            <w:vAlign w:val="center"/>
          </w:tcPr>
          <w:p w14:paraId="021059D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实践学时</w:t>
            </w:r>
          </w:p>
        </w:tc>
        <w:tc>
          <w:tcPr>
            <w:tcW w:w="3173" w:type="dxa"/>
            <w:vAlign w:val="center"/>
          </w:tcPr>
          <w:p w14:paraId="076477F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教学目标</w:t>
            </w:r>
          </w:p>
        </w:tc>
        <w:tc>
          <w:tcPr>
            <w:tcW w:w="1861" w:type="dxa"/>
            <w:vAlign w:val="center"/>
          </w:tcPr>
          <w:p w14:paraId="7EA53E2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教学重难点</w:t>
            </w:r>
          </w:p>
        </w:tc>
        <w:tc>
          <w:tcPr>
            <w:tcW w:w="1918" w:type="dxa"/>
            <w:vAlign w:val="center"/>
          </w:tcPr>
          <w:p w14:paraId="01EF6EC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重难点解决措施</w:t>
            </w:r>
          </w:p>
        </w:tc>
        <w:tc>
          <w:tcPr>
            <w:tcW w:w="1162" w:type="dxa"/>
            <w:vAlign w:val="center"/>
          </w:tcPr>
          <w:p w14:paraId="335E71D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课后任务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项目P1：Python工程基础——语法迁移与开发范式（W1–W2）</w:t>
            </w:r>
          </w:p>
          <w:p w14:paraId="18C7DC5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本周主题：C→Python语法快速迁移 + 基础强化</w:t>
            </w:r>
          </w:p>
          <w:p w14:paraId="78E4CB0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6732D85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第1次课——“带着C语言底子学Python”</w:t>
            </w:r>
          </w:p>
          <w:p w14:paraId="57C6696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C与Python对比导览：解释型vs编译型、缩进vs大括号、动态类型vs静态类型；</w:t>
            </w:r>
          </w:p>
          <w:p w14:paraId="75EB15C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基础语法迁移：变量、运算符、控制流（if/while/for/break/continue）；</w:t>
            </w:r>
          </w:p>
          <w:p w14:paraId="7549D38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函数定义与调用：与C函数的对照（默认参数、关键字参数）；</w:t>
            </w:r>
          </w:p>
          <w:p w14:paraId="31EA9FA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指针→对象：Python引用语义与C指针的异同。</w:t>
            </w:r>
          </w:p>
          <w:p w14:paraId="74837F2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第2次课——“列表与字典：C里没有的武器”</w:t>
            </w:r>
          </w:p>
          <w:p w14:paraId="0718E73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列表与元组：动态数组能力、切片操作；</w:t>
            </w:r>
          </w:p>
          <w:p w14:paraId="1406E5E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字典：键值映射、与C结构体的对照；</w:t>
            </w:r>
          </w:p>
          <w:p w14:paraId="47991FB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面向对象基础：类、对象、属性、方法（C结构体+函数指针的升级视角）；</w:t>
            </w:r>
          </w:p>
          <w:p w14:paraId="38E188C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异常处理：try/except/finally；</w:t>
            </w:r>
          </w:p>
          <w:p w14:paraId="06EDB38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5. 工单P1.1实操：完成5个渐进式练习题（数据类型⭐/控制流⭐⭐/列表字典⭐⭐/类与对象⭐⭐⭐/异常处理⭐⭐）。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完成C→Python的语法映射认知；掌握列表、字典等C语言没有的数据结构；理解Python引用语义与异常处理机制。</w:t>
            </w:r>
          </w:p>
          <w:p w14:paraId="6021EFC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能够独立完成5个Python基础练习题（及格≥3题正确运行）；代码PEP 8规范达75%；具备基本的调试排错能力。</w:t>
            </w:r>
          </w:p>
          <w:p w14:paraId="149ADA5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建立多语言工程视野，体会“语言是工具、问题是中心”的工程观，为快速学习新语言建立方法论。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语法迁移——重点：</w:t>
            </w:r>
          </w:p>
          <w:p w14:paraId="36F645B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控制流与函数的C→Python映射；列表/字典/元组三大容器的操作；类与对象的基本语法。</w:t>
            </w:r>
          </w:p>
          <w:p w14:paraId="494DED9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6CA0837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引用语义的理解（赋值不拷贝、可变对象共享）；从结构体思维到对象思维的升级；缩进即语法的编码纪律。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全程采用“C/Python双栏对照表”教学，每个语法点先看C再看Python；</w:t>
            </w:r>
          </w:p>
          <w:p w14:paraId="0FDF814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引用语义用“内存图手绘法”直观呈现赋值与拷贝的区别；</w:t>
            </w:r>
          </w:p>
          <w:p w14:paraId="3303A38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5道练习题按难度梯度设计，确保C基础较弱学生也能完成前3题（及格线）。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完成工单P1.1《Python基础练习五题》：及格标准≥3题正确+PEP 8≥75%；优秀标准5题全对+PEP 8≥85%+命名有意义；</w:t>
            </w:r>
          </w:p>
          <w:p w14:paraId="471F0702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整理个人《C→Python迁移对照笔记》；</w:t>
            </w:r>
          </w:p>
          <w:p w14:paraId="44AE24FA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预习PEP 8规范与Git基础操作。</w:t>
            </w:r>
          </w:p>
        </w:tc>
      </w:tr>
      <w:tr w14:paraId="096CB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177FBA5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第二周</w:t>
            </w:r>
          </w:p>
        </w:tc>
        <w:tc>
          <w:tcPr>
            <w:tcW w:w="3558" w:type="dxa"/>
            <w:vAlign w:val="center"/>
          </w:tcPr>
          <w:p w14:paraId="2BAF058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本周主题：工程规范 + 开发工具链 + 项目模板交付</w:t>
            </w:r>
          </w:p>
          <w:p w14:paraId="3543184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1FC6EAC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第3次课——“像企业团队一样写代码”</w:t>
            </w:r>
          </w:p>
          <w:p w14:paraId="223F322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PEP 8规范详解：命名、缩进、行长、导入顺序；</w:t>
            </w:r>
          </w:p>
          <w:p w14:paraId="753747A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虚拟环境（venv）与依赖管理（requirements.txt）；</w:t>
            </w:r>
          </w:p>
          <w:p w14:paraId="31D456E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Git版本控制：init、add、commit、branch、merge；GitHub/Gitea仓库使用；</w:t>
            </w:r>
          </w:p>
          <w:p w14:paraId="535DAEF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commit message规范与分支策略入门。</w:t>
            </w:r>
          </w:p>
          <w:p w14:paraId="0D1BE53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第4次课——“交付你的第一个工程模板”</w:t>
            </w:r>
          </w:p>
          <w:p w14:paraId="7F1277A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项目结构设计：src/、tests/、docs/、data/、config/目录规范；</w:t>
            </w:r>
          </w:p>
          <w:p w14:paraId="5353546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工具链配置：VS Code扩展、pylint/flake8检查、black自动格式化；</w:t>
            </w:r>
          </w:p>
          <w:p w14:paraId="6CC9815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单元测试入门：pytest编写与运行；</w:t>
            </w:r>
          </w:p>
          <w:p w14:paraId="713F059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日志系统与配置管理（settings.yaml）；</w:t>
            </w:r>
          </w:p>
          <w:p w14:paraId="49C663A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5. 工单P1.2实操：搭建标准Python工程模板并上传Git仓库。</w:t>
            </w:r>
          </w:p>
        </w:tc>
        <w:tc>
          <w:tcPr>
            <w:tcW w:w="557" w:type="dxa"/>
            <w:vAlign w:val="center"/>
          </w:tcPr>
          <w:p w14:paraId="3EBEAFB2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</w:t>
            </w:r>
          </w:p>
        </w:tc>
        <w:tc>
          <w:tcPr>
            <w:tcW w:w="533" w:type="dxa"/>
            <w:vAlign w:val="center"/>
          </w:tcPr>
          <w:p w14:paraId="0A641F47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3</w:t>
            </w:r>
          </w:p>
        </w:tc>
        <w:tc>
          <w:tcPr>
            <w:tcW w:w="3173" w:type="dxa"/>
            <w:vAlign w:val="center"/>
          </w:tcPr>
          <w:p w14:paraId="586187E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掌握PEP 8规范要点；掌握venv虚拟环境与requirements.txt依赖管理；掌握Git基本工作流与项目结构规范。</w:t>
            </w:r>
          </w:p>
          <w:p w14:paraId="661D5B3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能够搭建含src/tests/docs/config的标准工程模板；能够完成Git仓库初始化与规范提交；能够配置代码检查与自动格式化工具。</w:t>
            </w:r>
          </w:p>
          <w:p w14:paraId="3F20CD5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建立“代码是团队资产”的协作意识，养成规范化、可追溯的工程开发习惯。</w:t>
            </w:r>
          </w:p>
        </w:tc>
        <w:tc>
          <w:tcPr>
            <w:tcW w:w="1861" w:type="dxa"/>
            <w:vAlign w:val="center"/>
          </w:tcPr>
          <w:p w14:paraId="5A36640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工程规范——重点：</w:t>
            </w:r>
          </w:p>
          <w:p w14:paraId="2EFB6F6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PEP 8核心条款；venv与依赖管理流程；Git五步工作流；标准项目目录结构。</w:t>
            </w:r>
          </w:p>
          <w:p w14:paraId="70A4CA7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406ACC5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虚拟环境的作用理解（隔离与可复现）；Git分支模型的运用时机；从“能跑就行”到“规范交付”的心态转变。</w:t>
            </w:r>
          </w:p>
        </w:tc>
        <w:tc>
          <w:tcPr>
            <w:tcW w:w="1918" w:type="dxa"/>
            <w:vAlign w:val="center"/>
          </w:tcPr>
          <w:p w14:paraId="60C41BE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提供企业真实项目结构样例逐目录讲解用途；</w:t>
            </w:r>
          </w:p>
          <w:p w14:paraId="12755F6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Git操作采用“闯关练习”（init→commit→branch→merge四关）；</w:t>
            </w:r>
          </w:p>
          <w:p w14:paraId="026448C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以“模板即资产”定位本工单：后续所有工单均在此模板上开发，强化复用意识。</w:t>
            </w:r>
          </w:p>
        </w:tc>
        <w:tc>
          <w:tcPr>
            <w:tcW w:w="1162" w:type="dxa"/>
            <w:vAlign w:val="center"/>
          </w:tcPr>
          <w:p w14:paraId="2DF15DF3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完成工单P1.2《标准Python工程模板》：及格标准环境可用+仓库初始化+结构完整；优秀标准依赖可还原+CI配置+检查工具集成；</w:t>
            </w:r>
          </w:p>
          <w:p w14:paraId="126819B9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用模板重构P1.1练习代码并提交规范commit；</w:t>
            </w:r>
          </w:p>
          <w:p w14:paraId="685390F9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预习Pandas的Series与DataFrame概念。</w:t>
            </w:r>
          </w:p>
        </w:tc>
      </w:tr>
      <w:tr w14:paraId="17ECA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418B78DE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第三周</w:t>
            </w:r>
          </w:p>
        </w:tc>
        <w:tc>
          <w:tcPr>
            <w:tcW w:w="3558" w:type="dxa"/>
            <w:vAlign w:val="center"/>
          </w:tcPr>
          <w:p w14:paraId="184E153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项目P2：数据处理工程——产线数据清洗与特征提取（W3–W4）</w:t>
            </w:r>
          </w:p>
          <w:p w14:paraId="25992C9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本周主题：Pandas数据处理与清洗</w:t>
            </w:r>
          </w:p>
          <w:p w14:paraId="14F8DEF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007B643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第5次课——“认识工业数据的两大容器”</w:t>
            </w:r>
          </w:p>
          <w:p w14:paraId="28F5DA2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Pandas核心对象：Series、DataFrame、Index；</w:t>
            </w:r>
          </w:p>
          <w:p w14:paraId="0BF8D54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数据加载：read_csv/read_excel/read_json；</w:t>
            </w:r>
          </w:p>
          <w:p w14:paraId="4D1678D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数据检查三板斧：shape、info()、describe()、head()。</w:t>
            </w:r>
          </w:p>
          <w:p w14:paraId="5DB8497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第6次课——“从脏数据到可信数据”</w:t>
            </w:r>
          </w:p>
          <w:p w14:paraId="4AD8D5C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缺失值处理：dropna、fillna、interpolate；</w:t>
            </w:r>
          </w:p>
          <w:p w14:paraId="60FF227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异常值检测：IQR法、Z-score法、可视化检测；</w:t>
            </w:r>
          </w:p>
          <w:p w14:paraId="15B5B83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类型转换与去重：astype、to_datetime、drop_duplicates；</w:t>
            </w:r>
          </w:p>
          <w:p w14:paraId="050B27C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数据合并与分组：merge、concat、groupby、pivot_table；</w:t>
            </w:r>
          </w:p>
          <w:p w14:paraId="3A2FEA4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5. 工单P2.1实操：构建完整数据处理管道（加载→清洗→验证→输出清洁数据+质量报告）。</w:t>
            </w:r>
          </w:p>
        </w:tc>
        <w:tc>
          <w:tcPr>
            <w:tcW w:w="557" w:type="dxa"/>
            <w:vAlign w:val="center"/>
          </w:tcPr>
          <w:p w14:paraId="4C97D5B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</w:t>
            </w:r>
          </w:p>
        </w:tc>
        <w:tc>
          <w:tcPr>
            <w:tcW w:w="533" w:type="dxa"/>
            <w:vAlign w:val="center"/>
          </w:tcPr>
          <w:p w14:paraId="1893696C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3</w:t>
            </w:r>
          </w:p>
        </w:tc>
        <w:tc>
          <w:tcPr>
            <w:tcW w:w="3173" w:type="dxa"/>
            <w:vAlign w:val="center"/>
          </w:tcPr>
          <w:p w14:paraId="769CBFF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掌握DataFrame的核心操作；掌握缺失值、异常值、重复值的处理方法；理解数据质量四维度（完整性、准确性、一致性、时间性）。</w:t>
            </w:r>
          </w:p>
          <w:p w14:paraId="5404771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能够构建完整的数据清洗管道（1000+行数据）；数据质量评分≥85%（优秀≥90%）；处理速度&lt;30秒；代码PEP 8≥75%。</w:t>
            </w:r>
          </w:p>
          <w:p w14:paraId="5B4A33F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树立“数据质量是分析生命线”的工程意识，养成处理留痕、结果可验证的职业习惯。</w:t>
            </w:r>
          </w:p>
        </w:tc>
        <w:tc>
          <w:tcPr>
            <w:tcW w:w="1861" w:type="dxa"/>
            <w:vAlign w:val="center"/>
          </w:tcPr>
          <w:p w14:paraId="4779FD5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Pandas清洗——重点：</w:t>
            </w:r>
          </w:p>
          <w:p w14:paraId="6B03AA8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DataFrame读写与检查方法；缺失/异常/重复三类问题的处理策略；groupby分组聚合。</w:t>
            </w:r>
          </w:p>
          <w:p w14:paraId="31196C9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3DD52E8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异常值判断标准的业务依据（统计离群vs真实工况）；链式操作的逻辑组织；merge不同连接类型的选择。</w:t>
            </w:r>
          </w:p>
        </w:tc>
        <w:tc>
          <w:tcPr>
            <w:tcW w:w="1918" w:type="dxa"/>
            <w:vAlign w:val="center"/>
          </w:tcPr>
          <w:p w14:paraId="646A2E6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使用真实产线脱敏数据（含多种脏数据形态）实战，拒绝“玩具数据”；</w:t>
            </w:r>
          </w:p>
          <w:p w14:paraId="505CE65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提供“管道步骤检查清单”（7步）引导流程化开发；</w:t>
            </w:r>
          </w:p>
          <w:p w14:paraId="7D7DACE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质量评分脚本自动打分，学生可即时迭代优化。</w:t>
            </w:r>
          </w:p>
        </w:tc>
        <w:tc>
          <w:tcPr>
            <w:tcW w:w="1162" w:type="dxa"/>
            <w:vAlign w:val="center"/>
          </w:tcPr>
          <w:p w14:paraId="41DDC4FE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完成工单P2.1《Pandas数据处理管道》：及格标准管道完整+质量≥85%；优秀标准特殊格式处理+质量≥90%+PEP 8≥85%；</w:t>
            </w:r>
          </w:p>
          <w:p w14:paraId="1A4570DC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撰写数据质量报告（问题类型统计与处理决策说明）；</w:t>
            </w:r>
          </w:p>
          <w:p w14:paraId="02BC8082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预习NumPy数组基础。</w:t>
            </w:r>
          </w:p>
        </w:tc>
      </w:tr>
      <w:tr w14:paraId="4F034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5A91341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第四周</w:t>
            </w:r>
          </w:p>
        </w:tc>
        <w:tc>
          <w:tcPr>
            <w:tcW w:w="3558" w:type="dxa"/>
            <w:vAlign w:val="center"/>
          </w:tcPr>
          <w:p w14:paraId="3B525D0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本周主题：NumPy特征工程与振动信号分析</w:t>
            </w:r>
          </w:p>
          <w:p w14:paraId="383910B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1C29EF2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第7次课——“向量化：让计算快100倍”</w:t>
            </w:r>
          </w:p>
          <w:p w14:paraId="008B22D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NumPy基础：ndarray、dtype、shape、reshape；</w:t>
            </w:r>
          </w:p>
          <w:p w14:paraId="2BF9978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索引、切片、布尔筛选；</w:t>
            </w:r>
          </w:p>
          <w:p w14:paraId="7FFC40B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向量化计算与广播机制（与纯Python循环性能对比演示）；</w:t>
            </w:r>
          </w:p>
          <w:p w14:paraId="5152E14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统计计算：均值、方差、相关系数、协方差矩阵。</w:t>
            </w:r>
          </w:p>
          <w:p w14:paraId="30B5165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第8次课——“从振动信号提取30维特征”</w:t>
            </w:r>
          </w:p>
          <w:p w14:paraId="33193DE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傅里叶变换（FFT）与频域分析：np.fft.fft、fftfreq；</w:t>
            </w:r>
          </w:p>
          <w:p w14:paraId="220295A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时域特征（10个）：均值、标准差、峰值、峰峰值、RMS、峭度等；</w:t>
            </w:r>
          </w:p>
          <w:p w14:paraId="4913989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频域特征（15个）：主频率、频率带宽、能量分布、频域质心等；</w:t>
            </w:r>
          </w:p>
          <w:p w14:paraId="6FD8DBF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统计特征（5个）：偏度、峰度、变异系数、信息熵等；</w:t>
            </w:r>
          </w:p>
          <w:p w14:paraId="60F5F05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5. 工单P2.2实操：基于“特征字典模板+5个示例特征实现”骨架起步，补齐其余特征并完成向量化实现、特征标准化与箱线图可视化（4课时聚焦NumPy表达与性能优化，不从零推导公式）。</w:t>
            </w:r>
          </w:p>
        </w:tc>
        <w:tc>
          <w:tcPr>
            <w:tcW w:w="557" w:type="dxa"/>
            <w:vAlign w:val="center"/>
          </w:tcPr>
          <w:p w14:paraId="02F7A024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</w:t>
            </w:r>
          </w:p>
        </w:tc>
        <w:tc>
          <w:tcPr>
            <w:tcW w:w="533" w:type="dxa"/>
            <w:vAlign w:val="center"/>
          </w:tcPr>
          <w:p w14:paraId="0638687C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3</w:t>
            </w:r>
          </w:p>
        </w:tc>
        <w:tc>
          <w:tcPr>
            <w:tcW w:w="3173" w:type="dxa"/>
            <w:vAlign w:val="center"/>
          </w:tcPr>
          <w:p w14:paraId="555DE53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掌握NumPy数组操作与向量化计算；理解广播机制；掌握时域/频域/统计三类特征的原理与物理含义。</w:t>
            </w:r>
          </w:p>
          <w:p w14:paraId="754696B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能够完成30维故障特征提取（计算正确、向量化实现）；处理1000样本&lt;100ms；代码PEP 8≥75%；输出特征矩阵与箱线图。</w:t>
            </w:r>
          </w:p>
          <w:p w14:paraId="41270C7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体会“性能工程”价值（向量化100倍提速），培养用数学工具刻画工业问题的抽象能力。</w:t>
            </w:r>
          </w:p>
        </w:tc>
        <w:tc>
          <w:tcPr>
            <w:tcW w:w="1861" w:type="dxa"/>
            <w:vAlign w:val="center"/>
          </w:tcPr>
          <w:p w14:paraId="29E478D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NumPy特征工程——重点：</w:t>
            </w:r>
          </w:p>
          <w:p w14:paraId="12AA7E3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向量化计算与广播机制；FFT频域分析流程；30维特征的公式实现（NumPy表达）。</w:t>
            </w:r>
          </w:p>
          <w:p w14:paraId="058FBBA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045C693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频域概念的建立（时域→频域的变换直觉）；广播规则的多维应用；特征物理含义与工程解读。</w:t>
            </w:r>
          </w:p>
        </w:tc>
        <w:tc>
          <w:tcPr>
            <w:tcW w:w="1918" w:type="dxa"/>
            <w:vAlign w:val="center"/>
          </w:tcPr>
          <w:p w14:paraId="3CD56F9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FFT用“和弦分解”类比+频谱图动画直观呈现；</w:t>
            </w:r>
          </w:p>
          <w:p w14:paraId="318365B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提供“特征字典”模板（名称/公式/物理含义）与5个示例特征参考实现（骨架先行，降低工程量门槛）；</w:t>
            </w:r>
          </w:p>
          <w:p w14:paraId="04F6497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设立性能排行榜（处理耗时排名），激励向量化优化。</w:t>
            </w:r>
          </w:p>
        </w:tc>
        <w:tc>
          <w:tcPr>
            <w:tcW w:w="1162" w:type="dxa"/>
            <w:vAlign w:val="center"/>
          </w:tcPr>
          <w:p w14:paraId="7BB7EEB4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完成工单P2.2《设备故障特征提取系统》：及格标准30特征正确+向量化+标准化；优秀标准广播运用充分+&lt;50ms+特征字典完整；</w:t>
            </w:r>
          </w:p>
          <w:p w14:paraId="18325505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手绘一张“时域→频域”变换示意图并配文字解释；</w:t>
            </w:r>
          </w:p>
          <w:p w14:paraId="268AA427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预习Matplotlib与Plotly可视化基础。</w:t>
            </w:r>
          </w:p>
        </w:tc>
      </w:tr>
      <w:tr w14:paraId="4B32A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1C5E1C8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第五周</w:t>
            </w:r>
          </w:p>
        </w:tc>
        <w:tc>
          <w:tcPr>
            <w:tcW w:w="3558" w:type="dxa"/>
            <w:vAlign w:val="center"/>
          </w:tcPr>
          <w:p w14:paraId="78028EA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项目P3：数据可视化与报表——产线KPI仪表盘与自动日报（W5）</w:t>
            </w:r>
          </w:p>
          <w:p w14:paraId="7603513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本周主题：交互式仪表盘 + 自动化报表</w:t>
            </w:r>
          </w:p>
          <w:p w14:paraId="41BA4C1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51E4BDF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第9次课——“产线驾驶舱：5个KPI一屏掌握”</w:t>
            </w:r>
          </w:p>
          <w:p w14:paraId="3972D01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Matplotlib基础：折线图、柱状图、箱线图、热力图；</w:t>
            </w:r>
          </w:p>
          <w:p w14:paraId="436A07C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Plotly交互式图表与Dash框架入门；</w:t>
            </w:r>
          </w:p>
          <w:p w14:paraId="7767800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工单P3.1实操：搭建产线KPI实时仪表盘（产量趋势/良率仪表/设备状态灯/告警统计/效率对标5项KPI，含时间筛选）。</w:t>
            </w:r>
          </w:p>
          <w:p w14:paraId="60DD4C7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第10次课——“每天早上8点的生产日报”</w:t>
            </w:r>
          </w:p>
          <w:p w14:paraId="0C30EF7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Jinja2 HTML报表模板与CSS样式；</w:t>
            </w:r>
          </w:p>
          <w:p w14:paraId="289D7D4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reportlab生成PDF（图表+图像+表格混排）；</w:t>
            </w:r>
          </w:p>
          <w:p w14:paraId="1924B4E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邮件发送自动化（smtplib）；</w:t>
            </w:r>
          </w:p>
          <w:p w14:paraId="2B505E0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工单P3.2实操：设计每日生产分析报告系统（概览/详细分析/异常识别/数据表四部分，生成&lt;1分钟）。</w:t>
            </w:r>
          </w:p>
        </w:tc>
        <w:tc>
          <w:tcPr>
            <w:tcW w:w="557" w:type="dxa"/>
            <w:vAlign w:val="center"/>
          </w:tcPr>
          <w:p w14:paraId="5678F940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</w:t>
            </w:r>
          </w:p>
        </w:tc>
        <w:tc>
          <w:tcPr>
            <w:tcW w:w="533" w:type="dxa"/>
            <w:vAlign w:val="center"/>
          </w:tcPr>
          <w:p w14:paraId="03C9710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3</w:t>
            </w:r>
          </w:p>
        </w:tc>
        <w:tc>
          <w:tcPr>
            <w:tcW w:w="3173" w:type="dxa"/>
            <w:vAlign w:val="center"/>
          </w:tcPr>
          <w:p w14:paraId="3A7357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掌握Matplotlib/Plotly的常用图表绘制；理解Dash仪表盘组件结构；掌握Jinja2模板与PDF报表生成流程。</w:t>
            </w:r>
          </w:p>
          <w:p w14:paraId="542242E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能够搭建含5个KPI的交互式仪表盘；能够自动生成图文并茂的HTML+PDF日报；报告生成&lt;2分钟（优秀&lt;1分钟）。</w:t>
            </w:r>
          </w:p>
          <w:p w14:paraId="274671B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建立“数据产品”意识——可视化是给决策者用的产品，培养用户视角与美学素养。</w:t>
            </w:r>
          </w:p>
        </w:tc>
        <w:tc>
          <w:tcPr>
            <w:tcW w:w="1861" w:type="dxa"/>
            <w:vAlign w:val="center"/>
          </w:tcPr>
          <w:p w14:paraId="0B65A51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可视化与报表——重点：</w:t>
            </w:r>
          </w:p>
          <w:p w14:paraId="08A1F58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Plotly/Dash组件与回调机制；KPI指标设计（5项核心）；Jinja2模板变量与循环；PDF图文混排。</w:t>
            </w:r>
          </w:p>
          <w:p w14:paraId="207AD90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52D65FB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仪表盘交互回调的数据流理解；报表版式设计（信息层级与留白）；自动化链路（生成→发送）的稳定性。</w:t>
            </w:r>
          </w:p>
        </w:tc>
        <w:tc>
          <w:tcPr>
            <w:tcW w:w="1918" w:type="dxa"/>
            <w:vAlign w:val="center"/>
          </w:tcPr>
          <w:p w14:paraId="78FC2AC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以真实产线数据驾驶舱截图引入，明确“给谁看、看什么、做什么决策”；</w:t>
            </w:r>
          </w:p>
          <w:p w14:paraId="1E906DB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提供Dash最小应用骨架与回调示例，学生替换数据与布局；</w:t>
            </w:r>
          </w:p>
          <w:p w14:paraId="390DF62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报表采用“四段式模板”（概览/分析/异常/附表），结构化降低排版难度。</w:t>
            </w:r>
          </w:p>
        </w:tc>
        <w:tc>
          <w:tcPr>
            <w:tcW w:w="1162" w:type="dxa"/>
            <w:vAlign w:val="center"/>
          </w:tcPr>
          <w:p w14:paraId="45A56955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完成工单P3.1《产线KPI实时仪表盘》：及格标准5个KPI+时间筛选可用；优秀标准≥7指标+钻取交互+加载&lt;2秒；</w:t>
            </w:r>
          </w:p>
          <w:p w14:paraId="5163E882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完成工单P3.2《每日生产分析报告系统》：及格标准四部分完整+PDF正确；优秀标准异常自动识别+&lt;1分钟+美观度≥4/5；</w:t>
            </w:r>
          </w:p>
          <w:p w14:paraId="6F85196E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预习TCP/IP与MQTT协议基础。</w:t>
            </w:r>
          </w:p>
        </w:tc>
      </w:tr>
      <w:tr w14:paraId="3960C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1DF19AB1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第六周</w:t>
            </w:r>
          </w:p>
        </w:tc>
        <w:tc>
          <w:tcPr>
            <w:tcW w:w="3558" w:type="dxa"/>
            <w:vAlign w:val="center"/>
          </w:tcPr>
          <w:p w14:paraId="2890B11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项目P4：网络编程与数据采集——多源采集与消息中间件（W6）</w:t>
            </w:r>
          </w:p>
          <w:p w14:paraId="01CFF8B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本周主题：多线程采集系统 + 协议集成</w:t>
            </w:r>
          </w:p>
          <w:p w14:paraId="59FA1E10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09F7C18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第11次课——“让程序同时听三个PLC说话”</w:t>
            </w:r>
          </w:p>
          <w:p w14:paraId="2E862CF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TCP/IP与Socket复习深化；</w:t>
            </w:r>
          </w:p>
          <w:p w14:paraId="21B098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Modbus协议详解：寄存器映射、读写命令、异常码；</w:t>
            </w:r>
          </w:p>
          <w:p w14:paraId="2F3374A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MQTT深化：主题设计、QoS等级、遗嘱消息；</w:t>
            </w:r>
          </w:p>
          <w:p w14:paraId="0CBDE85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多线程基础：threading、Queue线程安全队列。</w:t>
            </w:r>
          </w:p>
          <w:p w14:paraId="6EA262F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第12次课——“搭建多源数据采集中枢”</w:t>
            </w:r>
          </w:p>
          <w:p w14:paraId="668BC9D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系统架构：3个PLC模拟器→Modbus采集器→数据处理→存储，MQTT订阅云端指令；</w:t>
            </w:r>
          </w:p>
          <w:p w14:paraId="7CF7EE8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模块设计：ModbusCollector/MQTTSubscriber/DataProcessor三类线程架构；</w:t>
            </w:r>
          </w:p>
          <w:p w14:paraId="03734C9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工程要点：连接超时重连、数据缓冲、单位转换、异常告警、批量入库；</w:t>
            </w:r>
          </w:p>
          <w:p w14:paraId="2213953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工单P4.1实操：基于提供的三线程架构骨架（ModbusCollector/MQTTSubscriber/DataProcessor模板），聚焦协议集成与可靠性开发，完成多源工业数据采集与消息中间件系统（采集率≥95%，吞吐≥1000条/秒）。</w:t>
            </w:r>
          </w:p>
        </w:tc>
        <w:tc>
          <w:tcPr>
            <w:tcW w:w="557" w:type="dxa"/>
            <w:vAlign w:val="center"/>
          </w:tcPr>
          <w:p w14:paraId="30CF427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1</w:t>
            </w:r>
          </w:p>
        </w:tc>
        <w:tc>
          <w:tcPr>
            <w:tcW w:w="533" w:type="dxa"/>
            <w:vAlign w:val="center"/>
          </w:tcPr>
          <w:p w14:paraId="39E9027C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3</w:t>
            </w:r>
          </w:p>
        </w:tc>
        <w:tc>
          <w:tcPr>
            <w:tcW w:w="3173" w:type="dxa"/>
            <w:vAlign w:val="center"/>
          </w:tcPr>
          <w:p w14:paraId="56F9E79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掌握Modbus寄存器读写流程；掌握MQTT主题设计与QoS机制；理解多线程并发与Queue线程安全原理。</w:t>
            </w:r>
          </w:p>
          <w:p w14:paraId="4AC858D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能够开发多线程多源采集系统（采集率≥95%优秀≥99.5%）；能够处理断线重连与数据缓冲；代码PEP 8≥75%。</w:t>
            </w:r>
          </w:p>
          <w:p w14:paraId="217B562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建立“系统稳定性”工程意识（7×24运行思维），培养并发编程的严谨性（线程安全、资源释放）。</w:t>
            </w:r>
          </w:p>
        </w:tc>
        <w:tc>
          <w:tcPr>
            <w:tcW w:w="1861" w:type="dxa"/>
            <w:vAlign w:val="center"/>
          </w:tcPr>
          <w:p w14:paraId="39858CA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多源采集——重点：</w:t>
            </w:r>
          </w:p>
          <w:p w14:paraId="4FB119B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Modbus/MQTT协议集成；多线程架构设计（采集/订阅/处理三线程）；Queue缓冲与线程安全。</w:t>
            </w:r>
          </w:p>
          <w:p w14:paraId="5C67E54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610C5D3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线程间数据传递与共享状态保护；断线重连的状态机设计；采集率/延迟等性能指标的测量与优化。</w:t>
            </w:r>
          </w:p>
        </w:tc>
        <w:tc>
          <w:tcPr>
            <w:tcW w:w="1918" w:type="dxa"/>
            <w:vAlign w:val="center"/>
          </w:tcPr>
          <w:p w14:paraId="61BB16D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架构先行：先画线程架构图、定义Queue接口，基于三线程骨架模板分工实现（决策环节完成“单线程vs多线程vs异步”选型对比矩阵）；</w:t>
            </w:r>
          </w:p>
          <w:p w14:paraId="736C6DA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提供PLC模拟器一键脚本与压力测试工具，性能指标可量化验证；</w:t>
            </w:r>
          </w:p>
          <w:p w14:paraId="521F8F6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设置“拔网线”故障演练环节，检验重连机制有效性。</w:t>
            </w:r>
          </w:p>
        </w:tc>
        <w:tc>
          <w:tcPr>
            <w:tcW w:w="1162" w:type="dxa"/>
            <w:vAlign w:val="center"/>
          </w:tcPr>
          <w:p w14:paraId="308D5851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完成工单P4.1《多源工业数据采集系统》：及格标准采集率&gt;95%+无数据丢失；优秀标准≥99.5%+延迟&lt;100ms+告警完善；</w:t>
            </w:r>
          </w:p>
          <w:p w14:paraId="7103E13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撰写系统架构文档（模块图+数据流图）；</w:t>
            </w:r>
          </w:p>
          <w:p w14:paraId="0620422A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预习SQL基础与数据库设计方法。</w:t>
            </w:r>
          </w:p>
        </w:tc>
      </w:tr>
      <w:tr w14:paraId="4B5A9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5517F373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第七周</w:t>
            </w:r>
          </w:p>
        </w:tc>
        <w:tc>
          <w:tcPr>
            <w:tcW w:w="3558" w:type="dxa"/>
            <w:vAlign w:val="center"/>
          </w:tcPr>
          <w:p w14:paraId="6AAD811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项目P5：数据库应用——数据仓库设计与ORM开发（W7）</w:t>
            </w:r>
          </w:p>
          <w:p w14:paraId="4BB694E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本周主题：数据库设计 + SQLAlchemy ORM</w:t>
            </w:r>
          </w:p>
          <w:p w14:paraId="2E69892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5FDD6D3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第13次课——“给产线数据安个家”</w:t>
            </w:r>
          </w:p>
          <w:p w14:paraId="60DDA71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关系数据库基础：表、主键、外键、索引；</w:t>
            </w:r>
          </w:p>
          <w:p w14:paraId="45C8E73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工业数据建模：设备表、测点表、采集记录表、告警事件表的ER设计；</w:t>
            </w:r>
          </w:p>
          <w:p w14:paraId="5C58B9A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SQL核心：CREATE/INSERT/SELECT/WHERE/GROUP BY/JOIN；</w:t>
            </w:r>
          </w:p>
          <w:p w14:paraId="4E33BE7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查询优化初步：EXPLAIN执行计划、索引命中。</w:t>
            </w:r>
          </w:p>
          <w:p w14:paraId="26C2A59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第14次课——“不写SQL也能操作数据库”</w:t>
            </w:r>
          </w:p>
          <w:p w14:paraId="67AEB42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SQLAlchemy ORM：模型定义、会话管理、关系映射；</w:t>
            </w:r>
          </w:p>
          <w:p w14:paraId="6CC1895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ORM查询：filter、join、聚合；</w:t>
            </w:r>
          </w:p>
          <w:p w14:paraId="4642EE8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批量写入与事务；</w:t>
            </w:r>
          </w:p>
          <w:p w14:paraId="20AFEF17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工单P5实操：将P4采集系统数据入库，构建小型产线数据仓库（ORM实现+统计查询+性能对比）。</w:t>
            </w:r>
          </w:p>
        </w:tc>
        <w:tc>
          <w:tcPr>
            <w:tcW w:w="557" w:type="dxa"/>
            <w:vAlign w:val="center"/>
          </w:tcPr>
          <w:p w14:paraId="3D8B090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1A4B279D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6B7318D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掌握关系数据库建模方法与SQL核心语法；掌握SQLAlchemy ORM的模型定义与查询；理解索引与查询优化原理。</w:t>
            </w:r>
          </w:p>
          <w:p w14:paraId="67A6966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能够完成4表ER设计并建库；能够用ORM实现采集数据入库与统计查询；能够对比直写/批量写性能并优化。</w:t>
            </w:r>
          </w:p>
          <w:p w14:paraId="5EDEC42E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树立“数据资产”管理意识，培养先设计后编码的工程规范化习惯。</w:t>
            </w:r>
          </w:p>
        </w:tc>
        <w:tc>
          <w:tcPr>
            <w:tcW w:w="1861" w:type="dxa"/>
            <w:vAlign w:val="center"/>
          </w:tcPr>
          <w:p w14:paraId="1802C1A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数据库应用——重点：</w:t>
            </w:r>
          </w:p>
          <w:p w14:paraId="1740F37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ER建模与三范式取舍；SQL多表JOIN与聚合查询；ORM模型映射与会话管理。</w:t>
            </w:r>
          </w:p>
          <w:p w14:paraId="457AE85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7B20C40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一对多/多对多关系的表结构表达；N+1查询问题的识别与优化；事务边界的合理划分。</w:t>
            </w:r>
          </w:p>
        </w:tc>
        <w:tc>
          <w:tcPr>
            <w:tcW w:w="1918" w:type="dxa"/>
            <w:vAlign w:val="center"/>
          </w:tcPr>
          <w:p w14:paraId="7A3D165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以P4采集数据为真实入库对象，形成项目接力（数据不再丢给打印）；</w:t>
            </w:r>
          </w:p>
          <w:p w14:paraId="69291B0C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提供“SQL vs ORM双实现”对照练习，理解抽象层的代价与收益；</w:t>
            </w:r>
          </w:p>
          <w:p w14:paraId="6F7989E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用EXPLAIN演示有无索引的查询差异，让优化看得见。</w:t>
            </w:r>
          </w:p>
        </w:tc>
        <w:tc>
          <w:tcPr>
            <w:tcW w:w="1162" w:type="dxa"/>
            <w:vAlign w:val="center"/>
          </w:tcPr>
          <w:p w14:paraId="0E35DB15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完成工单P5《产线数据仓库》：及格标准4表设计合理+ORM入库+基础统计；优秀标准含索引优化+批量写入+复杂查询；</w:t>
            </w:r>
          </w:p>
          <w:p w14:paraId="083607E9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完成ER图与数据字典文档；</w:t>
            </w:r>
          </w:p>
          <w:p w14:paraId="08E6654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预习机器学习基本流程（训练/验证/预测）。</w:t>
            </w:r>
          </w:p>
        </w:tc>
      </w:tr>
      <w:tr w14:paraId="3EB8D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432DD61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第八周</w:t>
            </w:r>
          </w:p>
        </w:tc>
        <w:tc>
          <w:tcPr>
            <w:tcW w:w="3558" w:type="dxa"/>
            <w:vAlign w:val="center"/>
          </w:tcPr>
          <w:p w14:paraId="43FCB37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项目P6：机器学习应用——故障诊断与缺陷检测（W8）</w:t>
            </w:r>
          </w:p>
          <w:p w14:paraId="6C0C3C9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本周主题：Scikit-learn分类 + 迁移学习部署</w:t>
            </w:r>
          </w:p>
          <w:p w14:paraId="286B14A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授课内容：</w:t>
            </w:r>
          </w:p>
          <w:p w14:paraId="4D80346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第15次课——“用特征矩阵训练诊断大脑”</w:t>
            </w:r>
          </w:p>
          <w:p w14:paraId="3A0D669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机器学习工作流：数据集划分→训练→验证→调参→保存模型；</w:t>
            </w:r>
          </w:p>
          <w:p w14:paraId="53A7DF4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Scikit-learn分类器：逻辑回归、随机森林、SVM；</w:t>
            </w:r>
          </w:p>
          <w:p w14:paraId="08430E9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模型评估：交叉验证、混淆矩阵、精确率/召回率/F1；</w:t>
            </w:r>
          </w:p>
          <w:p w14:paraId="566E5A5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工单P6.1实操：使用P2.2特征矩阵训练设备故障诊断模型（F1≥0.80）并接入P5数据库形成诊断服务。</w:t>
            </w:r>
          </w:p>
          <w:p w14:paraId="6E23B72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第16次课——“把模型部署到产线边缘”</w:t>
            </w:r>
          </w:p>
          <w:p w14:paraId="16C82EF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1. 深度学习轻量化：CNN/LSTM基础回顾、迁移学习概念；</w:t>
            </w:r>
          </w:p>
          <w:p w14:paraId="3B09370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2. 模型导出与部署：ONNX格式、推理接口封装；</w:t>
            </w:r>
          </w:p>
          <w:p w14:paraId="5FD2D17B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3. 边缘部署要点：性能（延迟/吞吐）、模型版本管理；</w:t>
            </w:r>
          </w:p>
          <w:p w14:paraId="048CE1F9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4. 工单P6.2实操：基于教师端训练产出的预训练缺陷检测模型（离线模型包，训练过程演示回放），学生聚焦评估调参、推理服务封装与性能测试；</w:t>
            </w:r>
          </w:p>
          <w:p w14:paraId="4EAE817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5. 课程总结与综合项目（P7，扩展周可选）说明。</w:t>
            </w:r>
          </w:p>
        </w:tc>
        <w:tc>
          <w:tcPr>
            <w:tcW w:w="557" w:type="dxa"/>
            <w:vAlign w:val="center"/>
          </w:tcPr>
          <w:p w14:paraId="7D51DDBF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533" w:type="dxa"/>
            <w:vAlign w:val="center"/>
          </w:tcPr>
          <w:p w14:paraId="7FEF3C5A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>2</w:t>
            </w:r>
          </w:p>
        </w:tc>
        <w:tc>
          <w:tcPr>
            <w:tcW w:w="3173" w:type="dxa"/>
            <w:vAlign w:val="center"/>
          </w:tcPr>
          <w:p w14:paraId="40ECA75A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知识目标： 掌握Scikit-learn分类建模全流程；理解交叉验证与混淆矩阵的评估方法；了解迁移学习与ONNX部署的基本概念。</w:t>
            </w:r>
          </w:p>
          <w:p w14:paraId="3E8EC6D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能力目标： 能够用P2.2特征训练故障诊断模型（F1≥0.80）；能够将模型封装为推理服务并测试性能；完成前后项目的系统集成。</w:t>
            </w:r>
          </w:p>
          <w:p w14:paraId="651E1EB1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素质目标： 建立“数据→特征→模型→服务”的端到端工程视野，培养模型版本管理与可复现的工程规范意识。</w:t>
            </w:r>
          </w:p>
        </w:tc>
        <w:tc>
          <w:tcPr>
            <w:tcW w:w="1861" w:type="dxa"/>
            <w:vAlign w:val="center"/>
          </w:tcPr>
          <w:p w14:paraId="2957AB9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机器学习应用——重点：</w:t>
            </w:r>
          </w:p>
          <w:p w14:paraId="24F2E54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分类建模五步流程；交叉验证与F1评估；模型保存与推理接口封装。</w:t>
            </w:r>
          </w:p>
          <w:p w14:paraId="2ABFD244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难点：</w:t>
            </w:r>
          </w:p>
          <w:p w14:paraId="566F307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过拟合与欠拟合的识别与应对；类别不均衡的处理策略；模型服务化后的性能瓶颈定位。</w:t>
            </w:r>
          </w:p>
        </w:tc>
        <w:tc>
          <w:tcPr>
            <w:tcW w:w="1918" w:type="dxa"/>
            <w:vAlign w:val="center"/>
          </w:tcPr>
          <w:p w14:paraId="3D698448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全程复用P2.2特征与P5数据库，突出“项目接力”闭环价值；</w:t>
            </w:r>
          </w:p>
          <w:p w14:paraId="6804A3ED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提供训练/评估/导出三段式代码骨架与预训练模型包（训练与推理分离，CPU机房可完整实施），聚焦调参与集成；</w:t>
            </w:r>
          </w:p>
          <w:p w14:paraId="134B0695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用混淆矩阵热力图直观呈现误判模式，引导针对性优化。</w:t>
            </w:r>
          </w:p>
        </w:tc>
        <w:tc>
          <w:tcPr>
            <w:tcW w:w="1162" w:type="dxa"/>
            <w:vAlign w:val="center"/>
          </w:tcPr>
          <w:p w14:paraId="6C41CF83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1. 完成工单P6.1《设备故障诊断模型》：及格标准F1≥0.80+接入数据库；优秀标准模型对比+调参优化+诊断报告；</w:t>
            </w:r>
          </w:p>
          <w:p w14:paraId="2B1B0A9A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2. 完成工单P6.2《缺陷检测模型部署》：及格标准推理服务可用；优秀标准延迟达标+版本管理规范；</w:t>
            </w:r>
          </w:p>
          <w:p w14:paraId="4044A1BC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>3. （选做）规划P7综合项目方案：智能产线监控/故障预测/供应链追溯/数据中台四选一。</w:t>
            </w:r>
          </w:p>
        </w:tc>
      </w:tr>
      <w:tr w14:paraId="7DDBF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238" w:type="dxa"/>
            <w:vAlign w:val="center"/>
          </w:tcPr>
          <w:p w14:paraId="4B66766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32B22FA6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合计</w:t>
            </w:r>
          </w:p>
        </w:tc>
        <w:tc>
          <w:tcPr>
            <w:tcW w:w="557" w:type="dxa"/>
            <w:vAlign w:val="center"/>
          </w:tcPr>
          <w:p w14:paraId="54F07DF7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>11</w:t>
            </w:r>
          </w:p>
        </w:tc>
        <w:tc>
          <w:tcPr>
            <w:tcW w:w="533" w:type="dxa"/>
            <w:vAlign w:val="center"/>
          </w:tcPr>
          <w:p w14:paraId="2F0A833F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>21</w:t>
            </w:r>
          </w:p>
        </w:tc>
        <w:tc>
          <w:tcPr>
            <w:tcW w:w="3173" w:type="dxa"/>
            <w:vAlign w:val="center"/>
          </w:tcPr>
          <w:p w14:paraId="7A3A586F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FF44EA7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1976B96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BDC28A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6057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238" w:type="dxa"/>
            <w:vAlign w:val="center"/>
          </w:tcPr>
          <w:p w14:paraId="34E2FA0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1874EACB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总计</w:t>
            </w:r>
          </w:p>
        </w:tc>
        <w:tc>
          <w:tcPr>
            <w:tcW w:w="1090" w:type="dxa"/>
            <w:gridSpan w:val="2"/>
            <w:vAlign w:val="center"/>
          </w:tcPr>
          <w:p w14:paraId="27EFC688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>32</w:t>
            </w:r>
          </w:p>
        </w:tc>
        <w:tc>
          <w:tcPr>
            <w:tcW w:w="3173" w:type="dxa"/>
            <w:vAlign w:val="center"/>
          </w:tcPr>
          <w:p w14:paraId="463F5E5C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18AE306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630EB669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F37C3C8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3DC0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1" w:hRule="atLeast"/>
        </w:trPr>
        <w:tc>
          <w:tcPr>
            <w:tcW w:w="14000" w:type="dxa"/>
            <w:gridSpan w:val="8"/>
            <w:vAlign w:val="center"/>
          </w:tcPr>
          <w:p w14:paraId="631029D0">
            <w:pPr>
              <w:spacing w:line="320" w:lineRule="exact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说明：1.授课教师请按任务书学时编制授课计划。     </w:t>
            </w:r>
          </w:p>
          <w:p w14:paraId="5A123726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2.节假日放假占据的学时要列在授课计划中。    </w:t>
            </w:r>
          </w:p>
          <w:p w14:paraId="0D592332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3.授课计划不能随意调动和变化。</w:t>
            </w:r>
          </w:p>
          <w:p w14:paraId="7AB98208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4.学时以2学时为一个单元编制。</w:t>
            </w:r>
          </w:p>
        </w:tc>
      </w:tr>
    </w:tbl>
    <w:p w14:paraId="78C9DC95">
      <w:pPr>
        <w:rPr>
          <w:rFonts w:ascii="Times New Roman" w:hAnsi="Times New Roman"/>
        </w:rPr>
      </w:pPr>
    </w:p>
    <w:p w14:paraId="3493B2DA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 xml:space="preserve">任课教师签字：                               教研室主任：                       专业负责人：       </w:t>
      </w:r>
    </w:p>
    <w:p w14:paraId="3D08454E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>院长签字：                                   教务处审核：                        填表时间：</w:t>
      </w:r>
    </w:p>
    <w:sectPr>
      <w:footerReference r:id="rId3" w:type="default"/>
      <w:pgSz w:w="16838" w:h="11906" w:orient="landscape"/>
      <w:pgMar w:top="1984" w:right="1446" w:bottom="1644" w:left="1446" w:header="851" w:footer="1474" w:gutter="0"/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1" w:fontKey="{58957611-406F-497A-A5F0-D4923DC81914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7F3C7802-1C54-4786-9C67-B1EBC3EA1847}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3" w:fontKey="{3ABA52F0-2CB1-4EE5-86B1-1BECAE36B4B0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4B09F606-05E4-40AB-B914-D30FDC24B674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F64A8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E83B5">
                          <w:pPr>
                            <w:pStyle w:val="5"/>
                            <w:ind w:left="210" w:leftChars="100" w:right="210" w:rightChars="10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E83B5">
                    <w:pPr>
                      <w:pStyle w:val="5"/>
                      <w:ind w:left="210" w:leftChars="100" w:right="210" w:rightChars="100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xZGZmODEwN2NmNGEzMDBhMjE0Mjk0MmExYjc3ZDcifQ=="/>
    <w:docVar w:name="KSO_WPS_MARK_KEY" w:val="275e2eab-afa0-401d-89c4-8937ac50be95"/>
  </w:docVars>
  <w:rsids>
    <w:rsidRoot w:val="00FE326F"/>
    <w:rsid w:val="0001746B"/>
    <w:rsid w:val="00232811"/>
    <w:rsid w:val="004932CE"/>
    <w:rsid w:val="00505830"/>
    <w:rsid w:val="00907EB0"/>
    <w:rsid w:val="0094056D"/>
    <w:rsid w:val="009C4185"/>
    <w:rsid w:val="00B77E2D"/>
    <w:rsid w:val="00FE326F"/>
    <w:rsid w:val="037E0200"/>
    <w:rsid w:val="039B5B6E"/>
    <w:rsid w:val="07724402"/>
    <w:rsid w:val="07E67424"/>
    <w:rsid w:val="08AB646D"/>
    <w:rsid w:val="09293C1C"/>
    <w:rsid w:val="09CF790E"/>
    <w:rsid w:val="0A72235A"/>
    <w:rsid w:val="0B2E5519"/>
    <w:rsid w:val="0BB3579C"/>
    <w:rsid w:val="0CE06691"/>
    <w:rsid w:val="0D470B14"/>
    <w:rsid w:val="10111DEE"/>
    <w:rsid w:val="11FFE822"/>
    <w:rsid w:val="13EF359A"/>
    <w:rsid w:val="1557567A"/>
    <w:rsid w:val="15DF5D8E"/>
    <w:rsid w:val="175C51BC"/>
    <w:rsid w:val="18251E5F"/>
    <w:rsid w:val="184773CA"/>
    <w:rsid w:val="18E53FD2"/>
    <w:rsid w:val="18F7B71A"/>
    <w:rsid w:val="19BE344F"/>
    <w:rsid w:val="1A393593"/>
    <w:rsid w:val="1B3F3CD9"/>
    <w:rsid w:val="1EE172CA"/>
    <w:rsid w:val="1EFF77E4"/>
    <w:rsid w:val="1F791EE8"/>
    <w:rsid w:val="1FEA4D18"/>
    <w:rsid w:val="1FFE18DC"/>
    <w:rsid w:val="234445A9"/>
    <w:rsid w:val="23535F81"/>
    <w:rsid w:val="23BCBD16"/>
    <w:rsid w:val="25FB4663"/>
    <w:rsid w:val="26037A24"/>
    <w:rsid w:val="26EF4A14"/>
    <w:rsid w:val="27144C27"/>
    <w:rsid w:val="2CBD3F75"/>
    <w:rsid w:val="2D854CE8"/>
    <w:rsid w:val="2DA37249"/>
    <w:rsid w:val="2E0C2E11"/>
    <w:rsid w:val="2E89643F"/>
    <w:rsid w:val="2EA46D27"/>
    <w:rsid w:val="2ECE02F6"/>
    <w:rsid w:val="2F7F11EA"/>
    <w:rsid w:val="2F874166"/>
    <w:rsid w:val="30DA7426"/>
    <w:rsid w:val="32FA5796"/>
    <w:rsid w:val="33A057DC"/>
    <w:rsid w:val="34ED18B3"/>
    <w:rsid w:val="35A149B6"/>
    <w:rsid w:val="35BE22C9"/>
    <w:rsid w:val="3AC60AFD"/>
    <w:rsid w:val="3BBD50DE"/>
    <w:rsid w:val="3BE75E0F"/>
    <w:rsid w:val="3C9E1C4F"/>
    <w:rsid w:val="3DB4423A"/>
    <w:rsid w:val="3DFF7568"/>
    <w:rsid w:val="3E5FFB8A"/>
    <w:rsid w:val="3EBA0D2E"/>
    <w:rsid w:val="3EDF7CFE"/>
    <w:rsid w:val="3F7E2D88"/>
    <w:rsid w:val="3FBD32CD"/>
    <w:rsid w:val="3FD7BF02"/>
    <w:rsid w:val="3FDBADDF"/>
    <w:rsid w:val="3FFB8C07"/>
    <w:rsid w:val="3FFD6D90"/>
    <w:rsid w:val="3FFF7B2E"/>
    <w:rsid w:val="3FFFFEA5"/>
    <w:rsid w:val="40EF7984"/>
    <w:rsid w:val="41DF489C"/>
    <w:rsid w:val="41F93484"/>
    <w:rsid w:val="423A3C12"/>
    <w:rsid w:val="42AD6D26"/>
    <w:rsid w:val="42E22404"/>
    <w:rsid w:val="44DFC3CB"/>
    <w:rsid w:val="460C6B11"/>
    <w:rsid w:val="47401871"/>
    <w:rsid w:val="47BF5FC4"/>
    <w:rsid w:val="47F646ED"/>
    <w:rsid w:val="47FFF5A4"/>
    <w:rsid w:val="49CB3958"/>
    <w:rsid w:val="49FFDAA4"/>
    <w:rsid w:val="4A724FA0"/>
    <w:rsid w:val="4A80756E"/>
    <w:rsid w:val="4B4C441F"/>
    <w:rsid w:val="4B7B979F"/>
    <w:rsid w:val="4C267E2F"/>
    <w:rsid w:val="4C4179AC"/>
    <w:rsid w:val="4F4A3C34"/>
    <w:rsid w:val="4FDBD1ED"/>
    <w:rsid w:val="4FFFEBA7"/>
    <w:rsid w:val="52BE37F2"/>
    <w:rsid w:val="537D6035"/>
    <w:rsid w:val="537E56B2"/>
    <w:rsid w:val="538204B6"/>
    <w:rsid w:val="53FF3AC4"/>
    <w:rsid w:val="54F63B49"/>
    <w:rsid w:val="55BF872A"/>
    <w:rsid w:val="57E51FF2"/>
    <w:rsid w:val="587A3144"/>
    <w:rsid w:val="58826206"/>
    <w:rsid w:val="58982A9A"/>
    <w:rsid w:val="5A290952"/>
    <w:rsid w:val="5A4A16DE"/>
    <w:rsid w:val="5B6E7605"/>
    <w:rsid w:val="5BD92797"/>
    <w:rsid w:val="5BDE7CF3"/>
    <w:rsid w:val="5BEA2363"/>
    <w:rsid w:val="5CF7ED4C"/>
    <w:rsid w:val="5D9910FC"/>
    <w:rsid w:val="5D9F423A"/>
    <w:rsid w:val="5E331DA0"/>
    <w:rsid w:val="5F5F8F80"/>
    <w:rsid w:val="5FDB7FD4"/>
    <w:rsid w:val="63F62454"/>
    <w:rsid w:val="63FBC0E9"/>
    <w:rsid w:val="640D3093"/>
    <w:rsid w:val="64A357A5"/>
    <w:rsid w:val="64E70858"/>
    <w:rsid w:val="677E01F7"/>
    <w:rsid w:val="679F4002"/>
    <w:rsid w:val="67BD1ECB"/>
    <w:rsid w:val="67CF535A"/>
    <w:rsid w:val="6B1B5E29"/>
    <w:rsid w:val="6BDDDD56"/>
    <w:rsid w:val="6BFB7BF5"/>
    <w:rsid w:val="6D464F20"/>
    <w:rsid w:val="6DF38443"/>
    <w:rsid w:val="6DFB2BBF"/>
    <w:rsid w:val="6EAE7221"/>
    <w:rsid w:val="6EFF3724"/>
    <w:rsid w:val="6F6F20AC"/>
    <w:rsid w:val="6FB63D6B"/>
    <w:rsid w:val="6FBA9717"/>
    <w:rsid w:val="6FBDC4F0"/>
    <w:rsid w:val="6FD3421B"/>
    <w:rsid w:val="6FFFB42A"/>
    <w:rsid w:val="70264800"/>
    <w:rsid w:val="71900E5F"/>
    <w:rsid w:val="71FF2BD8"/>
    <w:rsid w:val="729A7468"/>
    <w:rsid w:val="755C3532"/>
    <w:rsid w:val="759E7FEF"/>
    <w:rsid w:val="75C03F21"/>
    <w:rsid w:val="76BB9A44"/>
    <w:rsid w:val="76CE7AD1"/>
    <w:rsid w:val="777AC3A8"/>
    <w:rsid w:val="77BB49C2"/>
    <w:rsid w:val="77EBC6C3"/>
    <w:rsid w:val="77FE5D19"/>
    <w:rsid w:val="79ED50A1"/>
    <w:rsid w:val="7A4F9E8C"/>
    <w:rsid w:val="7B6C9A11"/>
    <w:rsid w:val="7C65617C"/>
    <w:rsid w:val="7CF60F14"/>
    <w:rsid w:val="7D5E1BBA"/>
    <w:rsid w:val="7DF65FE2"/>
    <w:rsid w:val="7E2A0F16"/>
    <w:rsid w:val="7ED7D4DB"/>
    <w:rsid w:val="7EDF957C"/>
    <w:rsid w:val="7EF777E7"/>
    <w:rsid w:val="7F1AAEF0"/>
    <w:rsid w:val="7F37E249"/>
    <w:rsid w:val="7F7F357B"/>
    <w:rsid w:val="7F7FF4EF"/>
    <w:rsid w:val="7FBE020E"/>
    <w:rsid w:val="7FBED1FC"/>
    <w:rsid w:val="7FCE7723"/>
    <w:rsid w:val="7FE5420B"/>
    <w:rsid w:val="7FEEB1ED"/>
    <w:rsid w:val="7FEF8CF5"/>
    <w:rsid w:val="9FCFBF13"/>
    <w:rsid w:val="9FFF12BE"/>
    <w:rsid w:val="ADAE03D1"/>
    <w:rsid w:val="ADED9C49"/>
    <w:rsid w:val="AFFFB502"/>
    <w:rsid w:val="B2FFD1B4"/>
    <w:rsid w:val="B63D12DE"/>
    <w:rsid w:val="B6FF5599"/>
    <w:rsid w:val="B79DB5B5"/>
    <w:rsid w:val="B9DBC68E"/>
    <w:rsid w:val="BDE9D3F9"/>
    <w:rsid w:val="BE7B88AB"/>
    <w:rsid w:val="BFFF784F"/>
    <w:rsid w:val="C7F36AE8"/>
    <w:rsid w:val="CCFBE88E"/>
    <w:rsid w:val="CD36D215"/>
    <w:rsid w:val="CDBB8E98"/>
    <w:rsid w:val="CED92D6B"/>
    <w:rsid w:val="CFC676DC"/>
    <w:rsid w:val="D3EF82AF"/>
    <w:rsid w:val="D3FF8473"/>
    <w:rsid w:val="D67F0A14"/>
    <w:rsid w:val="D6E672CB"/>
    <w:rsid w:val="D86EA111"/>
    <w:rsid w:val="D966F65D"/>
    <w:rsid w:val="D9FD9FF9"/>
    <w:rsid w:val="DA6F567B"/>
    <w:rsid w:val="DBEFE230"/>
    <w:rsid w:val="DCFFE497"/>
    <w:rsid w:val="DD9622D9"/>
    <w:rsid w:val="DEDF8386"/>
    <w:rsid w:val="DF777AA3"/>
    <w:rsid w:val="DF9B39B5"/>
    <w:rsid w:val="DFCEF120"/>
    <w:rsid w:val="DFEDBBE1"/>
    <w:rsid w:val="DFFDDBD2"/>
    <w:rsid w:val="DFFE23EE"/>
    <w:rsid w:val="E7F99A56"/>
    <w:rsid w:val="E7FC8A7E"/>
    <w:rsid w:val="E9ED22AA"/>
    <w:rsid w:val="E9EDC885"/>
    <w:rsid w:val="EA7A87D1"/>
    <w:rsid w:val="EAB7FC46"/>
    <w:rsid w:val="EADBFA45"/>
    <w:rsid w:val="EBBF92AE"/>
    <w:rsid w:val="ED2D8160"/>
    <w:rsid w:val="EDFFD064"/>
    <w:rsid w:val="EF9FEE20"/>
    <w:rsid w:val="EFFF3D69"/>
    <w:rsid w:val="EFFFA37B"/>
    <w:rsid w:val="F3AF3595"/>
    <w:rsid w:val="F3F4849F"/>
    <w:rsid w:val="F46BD3BA"/>
    <w:rsid w:val="F53BEDE3"/>
    <w:rsid w:val="F5B36009"/>
    <w:rsid w:val="F5DAC780"/>
    <w:rsid w:val="F7AFB5C1"/>
    <w:rsid w:val="F7EB5723"/>
    <w:rsid w:val="F7EF6EE6"/>
    <w:rsid w:val="F7FFD00F"/>
    <w:rsid w:val="F95785C2"/>
    <w:rsid w:val="F9F909F0"/>
    <w:rsid w:val="FBDFDF52"/>
    <w:rsid w:val="FD7C5F8F"/>
    <w:rsid w:val="FDFB6F3F"/>
    <w:rsid w:val="FDFF4469"/>
    <w:rsid w:val="FDFF93A2"/>
    <w:rsid w:val="FEBF46BE"/>
    <w:rsid w:val="FEDF9F56"/>
    <w:rsid w:val="FEFBF555"/>
    <w:rsid w:val="FFB45ABA"/>
    <w:rsid w:val="FFBB85B0"/>
    <w:rsid w:val="FFD5495E"/>
    <w:rsid w:val="FFF4D2DD"/>
    <w:rsid w:val="FFF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94" w:lineRule="exact"/>
      <w:jc w:val="center"/>
      <w:outlineLvl w:val="0"/>
    </w:pPr>
    <w:rPr>
      <w:rFonts w:ascii="Calibri" w:hAnsi="Calibri" w:eastAsia="方正小标宋_GBK" w:cs="Calibri"/>
      <w:kern w:val="44"/>
      <w:sz w:val="44"/>
      <w:szCs w:val="21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rFonts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6435</Words>
  <Characters>8024</Characters>
  <Lines>5</Lines>
  <Paragraphs>1</Paragraphs>
  <TotalTime>0</TotalTime>
  <ScaleCrop>false</ScaleCrop>
  <LinksUpToDate>false</LinksUpToDate>
  <CharactersWithSpaces>8366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2025-06-08T18:44:00Z</dcterms:created>
  <dc:creator>huangmin</dc:creator>
  <cp:lastModifiedBy>天琼恩泽</cp:lastModifiedBy>
  <dcterms:modified xsi:type="dcterms:W3CDTF">2026-08-21T02:14:50Z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ICV">
    <vt:lpwstr>35349C02CB5C7E3A132C816A093F5CCE_43</vt:lpwstr>
  </property>
  <property fmtid="{D5CDD505-2E9C-101B-9397-08002B2CF9AE}" pid="4" name="KSOTemplateDocerSaveRecord">
    <vt:lpwstr>eyJoZGlkIjoiYTYxYTczODFmYmQ2NWMwY2FlMjY4YzNhMDY5ODg1MzEiLCJ1c2VySWQiOiIyNDAzNTIzMSJ9</vt:lpwstr>
  </property>
</Properties>
</file>