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工单1.4《工业图像处理与报告生成》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▍任务情境：集团质量月检查，要求图文并茂的日报。现在质检照片和统计表还是两个世界——工单1.4：Pillow标注缺陷+reportlab生成PDF质量日报。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Pillow：open/copy/resize/draw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rectangle画框[x1,y1,x2,y2]——应用：见工单starter与教师参考实现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reportlab三件：Paragraph/Image/Table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中文字体注册TTFont后setFont——应用：见工单starter与教师参考实现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四段式日报：概览/分析/异常/附表——应用：见工单starter与教师参考实现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信息层级：结论先行——应用：见工单starter与教师参考实现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图像缩放与缺陷框标注——应用：见工单starter与教师参考实现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PDF图文表混排生成——应用：见工单starter与教师参考实现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中文字体注册与使用——应用：见工单starter与教师参考实现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按读者视角组织报告层级——应用：见工单starter与教师参考实现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【D层·学徒(跟做保底)】目标：标注体验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改坐标再画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观察标注变化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能改框位置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【C层·操作员(基础完成)】目标：图+PDF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画框标注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最简PDF输出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确认中文正常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PDF能打开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【B层·组长(标准达成)】目标：图文表三要素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标注缺陷图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PDF标题+结论+图+表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生成并检查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排版规范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【A层·师傅(进阶拓展)】目标：封面+多页报告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自绘封面页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概览+明细双页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耗时&lt;2min记录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可直接上交水准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▍标注+PDF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 = ImageDraw.Draw(img.copy())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d.rectangle([120,80,210,120], outline=(255,0,0), width=3)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d.text((120,66), "scratch 9.0mm", fill=(255,0,0))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pdfmetrics.registerFont(TTFont("ZH", "fonts/ZH_Font.ttf"))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doc.build([Paragraph("设备质量日报", st),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RLImage("marked.png", width=120*mm, height=90*mm)])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PDF中文空白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字体未注册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registerFont+setFont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文字压住框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y坐标不当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画在框上方y-14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图变形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宽高没等比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按原始比例设宽高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