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C568D2">
      <w:pPr>
        <w:pStyle w:val="2"/>
        <w:spacing w:line="700" w:lineRule="exact"/>
        <w:rPr>
          <w:rFonts w:ascii="方正黑体_GBK" w:hAnsi="方正黑体_GBK" w:eastAsia="方正黑体_GBK" w:cs="方正黑体_GBK"/>
          <w:sz w:val="52"/>
          <w:szCs w:val="24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重庆现代制造职业学院</w:t>
      </w:r>
    </w:p>
    <w:p w14:paraId="00498727">
      <w:pPr>
        <w:pStyle w:val="2"/>
        <w:spacing w:line="700" w:lineRule="exact"/>
        <w:rPr>
          <w:rFonts w:ascii="方正黑体_GBK" w:hAnsi="方正黑体_GBK" w:eastAsia="方正黑体_GBK" w:cs="方正黑体_GBK"/>
          <w:b/>
          <w:bCs/>
          <w:sz w:val="32"/>
          <w:szCs w:val="32"/>
        </w:rPr>
      </w:pPr>
      <w:r>
        <w:rPr>
          <w:rFonts w:hint="eastAsia" w:ascii="方正黑体_GBK" w:hAnsi="方正黑体_GBK" w:eastAsia="方正黑体_GBK" w:cs="方正黑体_GBK"/>
          <w:sz w:val="52"/>
          <w:szCs w:val="24"/>
        </w:rPr>
        <w:t>学期教学授课计划表</w:t>
      </w:r>
    </w:p>
    <w:tbl>
      <w:tblPr>
        <w:tblStyle w:val="9"/>
        <w:tblpPr w:leftFromText="180" w:rightFromText="180" w:vertAnchor="text" w:horzAnchor="page" w:tblpXSpec="center" w:tblpY="526"/>
        <w:tblOverlap w:val="never"/>
        <w:tblW w:w="876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25"/>
        <w:gridCol w:w="5136"/>
      </w:tblGrid>
      <w:tr w14:paraId="6E9A09D2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38AB927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开课学院</w:t>
            </w:r>
          </w:p>
        </w:tc>
        <w:tc>
          <w:tcPr>
            <w:tcW w:w="5136" w:type="dxa"/>
            <w:vAlign w:val="center"/>
          </w:tcPr>
          <w:p w14:paraId="2F26DFFB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智能控制学院</w:t>
            </w:r>
          </w:p>
        </w:tc>
      </w:tr>
      <w:tr w14:paraId="6CC99171">
        <w:trPr>
          <w:trHeight w:val="965" w:hRule="atLeast"/>
          <w:jc w:val="center"/>
        </w:trPr>
        <w:tc>
          <w:tcPr>
            <w:tcW w:w="3625" w:type="dxa"/>
            <w:vAlign w:val="center"/>
          </w:tcPr>
          <w:p w14:paraId="7E3C8A7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授课教师</w:t>
            </w:r>
          </w:p>
        </w:tc>
        <w:tc>
          <w:tcPr>
            <w:tcW w:w="5136" w:type="dxa"/>
            <w:vAlign w:val="center"/>
          </w:tcPr>
          <w:p w14:paraId="61158325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/>
            </w:r>
            <w:bookmarkStart w:id="0" w:name="_GoBack"/>
            <w:bookmarkEnd w:id="0"/>
          </w:p>
        </w:tc>
      </w:tr>
      <w:tr w14:paraId="649AABCA">
        <w:trPr>
          <w:trHeight w:val="932" w:hRule="atLeast"/>
          <w:jc w:val="center"/>
        </w:trPr>
        <w:tc>
          <w:tcPr>
            <w:tcW w:w="3625" w:type="dxa"/>
            <w:vAlign w:val="center"/>
          </w:tcPr>
          <w:p w14:paraId="75648F6C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课程名称</w:t>
            </w:r>
          </w:p>
        </w:tc>
        <w:tc>
          <w:tcPr>
            <w:tcW w:w="5136" w:type="dxa"/>
            <w:vAlign w:val="center"/>
          </w:tcPr>
          <w:p w14:paraId="51E6343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  <w:t xml:space="preserve">Python编程基础</w:t>
            </w:r>
          </w:p>
        </w:tc>
      </w:tr>
      <w:tr w14:paraId="7DBFC306">
        <w:trPr>
          <w:trHeight w:val="1817" w:hRule="atLeast"/>
          <w:jc w:val="center"/>
        </w:trPr>
        <w:tc>
          <w:tcPr>
            <w:tcW w:w="3625" w:type="dxa"/>
            <w:vAlign w:val="center"/>
          </w:tcPr>
          <w:p w14:paraId="461B864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课程类型</w:t>
            </w:r>
          </w:p>
        </w:tc>
        <w:tc>
          <w:tcPr>
            <w:tcW w:w="5136" w:type="dxa"/>
            <w:vAlign w:val="center"/>
          </w:tcPr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□公共必修课  专业必修课</w:t>
            </w:r>
          </w:p>
          <w:p w14:paraId="499A648E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□公共选修课  □专业选修课</w:t>
            </w:r>
          </w:p>
        </w:tc>
      </w:tr>
      <w:tr w14:paraId="491D7044">
        <w:trPr>
          <w:trHeight w:val="990" w:hRule="atLeast"/>
          <w:jc w:val="center"/>
        </w:trPr>
        <w:tc>
          <w:tcPr>
            <w:tcW w:w="3625" w:type="dxa"/>
            <w:vAlign w:val="center"/>
          </w:tcPr>
          <w:p w14:paraId="44BCF410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授课学期</w:t>
            </w:r>
          </w:p>
        </w:tc>
        <w:tc>
          <w:tcPr>
            <w:tcW w:w="5136" w:type="dxa"/>
            <w:vAlign w:val="center"/>
          </w:tcPr>
          <w:p w14:paraId="2CBB4CC7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2026 - 2027 学年第一学期</w:t>
            </w:r>
          </w:p>
        </w:tc>
      </w:tr>
      <w:tr w14:paraId="7A480FA8">
        <w:trPr>
          <w:trHeight w:val="1054" w:hRule="atLeast"/>
          <w:jc w:val="center"/>
        </w:trPr>
        <w:tc>
          <w:tcPr>
            <w:tcW w:w="3625" w:type="dxa"/>
            <w:vAlign w:val="center"/>
          </w:tcPr>
          <w:p w14:paraId="7F394159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授课专业及班级</w:t>
            </w:r>
          </w:p>
        </w:tc>
        <w:tc>
          <w:tcPr>
            <w:tcW w:w="5136" w:type="dxa"/>
            <w:vAlign w:val="center"/>
          </w:tcPr>
          <w:p w14:paraId="64CA2F0E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2026级工业互联网应用专业1～2班</w:t>
            </w:r>
          </w:p>
        </w:tc>
      </w:tr>
      <w:tr w14:paraId="32E60F91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6D99D578">
            <w:pPr>
              <w:pStyle w:val="3"/>
              <w:jc w:val="center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  <w:lang w:val="en-US" w:eastAsia="zh-CN"/>
              </w:rPr>
              <w:t xml:space="preserve">教学方式</w:t>
            </w:r>
          </w:p>
        </w:tc>
        <w:tc>
          <w:tcPr>
            <w:tcW w:w="5136" w:type="dxa"/>
            <w:vAlign w:val="center"/>
          </w:tcPr>
          <w:p w14:paraId="3850B934">
            <w:pPr>
              <w:pStyle w:val="3"/>
              <w:jc w:val="both"/>
              <w:rPr>
                <w:rFonts w:hint="default" w:ascii="方正黑体_GBK" w:hAnsi="方正黑体_GBK" w:eastAsia="方正黑体_GBK" w:cs="方正黑体_GBK"/>
                <w:b w:val="0"/>
                <w:bCs w:val="0"/>
                <w:lang w:val="en-US" w:eastAsia="zh-CN"/>
              </w:rPr>
            </w:pPr>
            <w:r>
              <w:rPr>
                <w:rFonts w:hint="default"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“四步法筑基→六步法渐进”双轨制（面向零基础新生）：第1–6周采用“讲解—示范—模仿—练习”四步法（六步之“资讯·计划·实施”内嵌），第7–12周过渡到德国双元制完整六步法（“资讯·计划”以线上导学单课前完成，课堂聚焦决策→实施→检查→评价）；“讲（10分钟）→演（10分钟）→做（20分钟）”三段式循环（每课时40分钟）；分层教学（A快速班/B常规班/C补强班）+及时反馈（工单24小时内反馈）；费曼学习法（ABCD层师徒制）；小步成功设计（每次课开课20分钟内人人产出可运行代码）</w:t>
            </w:r>
          </w:p>
        </w:tc>
      </w:tr>
      <w:tr w14:paraId="50FE0C15">
        <w:trPr>
          <w:trHeight w:val="1097" w:hRule="atLeast"/>
          <w:jc w:val="center"/>
        </w:trPr>
        <w:tc>
          <w:tcPr>
            <w:tcW w:w="3625" w:type="dxa"/>
            <w:vAlign w:val="center"/>
          </w:tcPr>
          <w:p w14:paraId="459D2A2B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考核方式</w:t>
            </w:r>
          </w:p>
        </w:tc>
        <w:tc>
          <w:tcPr>
            <w:tcW w:w="5136" w:type="dxa"/>
            <w:vAlign w:val="center"/>
          </w:tcPr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过程性评价（80%）：出勤与课堂表现（10%）、课中任务（20%）、工单任务（50%）。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任务各项详细占比如下：0.1设备参数初始化系统（5%）；0.2工业实时告警系统（5%）；0.3工业设备类设计（5%）；0.4工业设备继承体系（5%）；0.5健壮的工业数据采集程序（5%）；1.1工业数据格式转换工具（5%）；1.2工业数据文件处理系统（5%）；1.3工业故障分析报告生成系统（5%）；1.4工业图像处理与报告生成（5%）；1.5工业互联网数据采集系统（5%）。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期末考试（20%）：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综合项目上机操作与答辩</w:t>
            </w:r>
          </w:p>
          <w:p w14:paraId="2125670C">
            <w:pPr>
              <w:pStyle w:val="3"/>
              <w:jc w:val="both"/>
              <w:rPr>
                <w:rFonts w:hint="eastAsia" w:ascii="方正黑体_GBK" w:hAnsi="方正黑体_GBK" w:eastAsia="方正黑体_GBK" w:cs="方正黑体_GBK"/>
                <w:b w:val="0"/>
                <w:bCs w:val="0"/>
                <w:sz w:val="28"/>
                <w:szCs w:val="28"/>
                <w:lang w:eastAsia="zh-CN"/>
              </w:rPr>
            </w:pPr>
            <w:r>
              <w:rPr>
                <w:rFonts w:ascii="方正黑体_GBK" w:hAnsi="方正黑体_GBK" w:eastAsia="方正黑体_GBK" w:cs="方正黑体_GBK"/>
                <w:b w:val="0"/>
                <w:bCs w:val="0"/>
                <w:sz w:val="28"/>
                <w:szCs w:val="28"/>
              </w:rPr>
              <w:t xml:space="preserve">工单采用D/C/B/A四级量表评分（量表随工单任务书发放）；组内贡献表计入协作分（防搭便车）</w:t>
            </w:r>
          </w:p>
        </w:tc>
      </w:tr>
      <w:tr w14:paraId="3F380D83">
        <w:trPr>
          <w:trHeight w:val="1152" w:hRule="atLeast"/>
          <w:jc w:val="center"/>
        </w:trPr>
        <w:tc>
          <w:tcPr>
            <w:tcW w:w="3625" w:type="dxa"/>
            <w:vAlign w:val="center"/>
          </w:tcPr>
          <w:p w14:paraId="553365FD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周学时/总学时</w:t>
            </w:r>
          </w:p>
        </w:tc>
        <w:tc>
          <w:tcPr>
            <w:tcW w:w="5136" w:type="dxa"/>
            <w:vAlign w:val="center"/>
          </w:tcPr>
          <w:p w14:paraId="1F06965F">
            <w:pPr>
              <w:pStyle w:val="3"/>
              <w:jc w:val="center"/>
              <w:rPr>
                <w:rFonts w:ascii="方正黑体_GBK" w:hAnsi="方正黑体_GBK" w:eastAsia="方正黑体_GBK" w:cs="方正黑体_GBK"/>
                <w:b w:val="0"/>
                <w:bCs w:val="0"/>
              </w:rPr>
            </w:pPr>
            <w:r>
              <w:rPr>
                <w:rFonts w:hint="eastAsia" w:ascii="方正黑体_GBK" w:hAnsi="方正黑体_GBK" w:eastAsia="方正黑体_GBK" w:cs="方正黑体_GBK"/>
                <w:b w:val="0"/>
                <w:bCs w:val="0"/>
              </w:rPr>
              <w:t xml:space="preserve">4/48</w:t>
            </w:r>
          </w:p>
        </w:tc>
      </w:tr>
    </w:tbl>
    <w:p w14:paraId="6784EDCE">
      <w:pPr>
        <w:rPr>
          <w:rFonts w:ascii="Times New Roman" w:hAnsi="Times New Roman"/>
          <w:b/>
          <w:bCs/>
          <w:sz w:val="32"/>
          <w:szCs w:val="32"/>
        </w:rPr>
        <w:sectPr>
          <w:pgSz w:w="11906" w:h="16838"/>
          <w:pgMar w:top="1417" w:right="1417" w:bottom="1417" w:left="1417" w:header="851" w:footer="1474" w:gutter="0"/>
          <w:pgNumType w:fmt="numberInDash"/>
          <w:cols w:space="0" w:num="1"/>
          <w:docGrid w:type="lines" w:linePitch="312" w:charSpace="0"/>
        </w:sectPr>
      </w:pPr>
    </w:p>
    <w:tbl>
      <w:tblPr>
        <w:tblStyle w:val="9"/>
        <w:tblW w:w="14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8"/>
        <w:gridCol w:w="3558"/>
        <w:gridCol w:w="557"/>
        <w:gridCol w:w="533"/>
        <w:gridCol w:w="3173"/>
        <w:gridCol w:w="1861"/>
        <w:gridCol w:w="1918"/>
        <w:gridCol w:w="1162"/>
      </w:tblGrid>
      <w:tr w14:paraId="6F01B84D">
        <w:trPr>
          <w:trHeight w:val="530" w:hRule="atLeast"/>
        </w:trPr>
        <w:tc>
          <w:tcPr>
            <w:tcW w:w="14000" w:type="dxa"/>
            <w:gridSpan w:val="8"/>
            <w:vAlign w:val="center"/>
          </w:tcPr>
          <w:p w14:paraId="4202584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b/>
                <w:bCs/>
                <w:sz w:val="24"/>
              </w:rPr>
              <w:t>教学内容与学时分配</w:t>
            </w:r>
          </w:p>
        </w:tc>
      </w:tr>
      <w:tr w14:paraId="2EABAAEA">
        <w:trPr>
          <w:trHeight w:val="532" w:hRule="atLeast"/>
        </w:trPr>
        <w:tc>
          <w:tcPr>
            <w:tcW w:w="1238" w:type="dxa"/>
            <w:vAlign w:val="center"/>
          </w:tcPr>
          <w:p w14:paraId="2CE8A624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周别</w:t>
            </w:r>
          </w:p>
        </w:tc>
        <w:tc>
          <w:tcPr>
            <w:tcW w:w="3558" w:type="dxa"/>
            <w:vAlign w:val="center"/>
          </w:tcPr>
          <w:p w14:paraId="41A53AB0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授课内容</w:t>
            </w:r>
          </w:p>
        </w:tc>
        <w:tc>
          <w:tcPr>
            <w:tcW w:w="557" w:type="dxa"/>
            <w:vAlign w:val="center"/>
          </w:tcPr>
          <w:p w14:paraId="7C99F278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理论学时</w:t>
            </w:r>
          </w:p>
        </w:tc>
        <w:tc>
          <w:tcPr>
            <w:tcW w:w="533" w:type="dxa"/>
            <w:vAlign w:val="center"/>
          </w:tcPr>
          <w:p w14:paraId="021059DB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实践学时</w:t>
            </w:r>
          </w:p>
        </w:tc>
        <w:tc>
          <w:tcPr>
            <w:tcW w:w="3173" w:type="dxa"/>
            <w:vAlign w:val="center"/>
          </w:tcPr>
          <w:p w14:paraId="076477F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教学目标</w:t>
            </w:r>
          </w:p>
        </w:tc>
        <w:tc>
          <w:tcPr>
            <w:tcW w:w="1861" w:type="dxa"/>
            <w:vAlign w:val="center"/>
          </w:tcPr>
          <w:p w14:paraId="7EA53E2C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教学重难点</w:t>
            </w:r>
          </w:p>
        </w:tc>
        <w:tc>
          <w:tcPr>
            <w:tcW w:w="1918" w:type="dxa"/>
            <w:vAlign w:val="center"/>
          </w:tcPr>
          <w:p w14:paraId="01EF6EC5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重难点解决措施</w:t>
            </w:r>
          </w:p>
        </w:tc>
        <w:tc>
          <w:tcPr>
            <w:tcW w:w="1162" w:type="dxa"/>
            <w:vAlign w:val="center"/>
          </w:tcPr>
          <w:p w14:paraId="335E71DA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课后任务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项目载体：重庆两江智造集团·精密制造事业部｜入职第一天，王主任把小郑领到中控室：'十台注塑机的铭牌参数还在Excel里躺了三年。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模块0：Python编程基础与面向对象（W1–W6）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本周主题：开发环境搭建 + 数据类型与变量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第1次课——“与Python的第一次握手”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开发环境搭建：Python 3.8+安装、VS Code/PyCharm配置、交互式解释器（REPL）初体验；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Python基本语法：注释、缩进规则、语句与表达式；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变量与数据类型：int、float、str、bool的定义与转换；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基本运算：算术运算符、比较运算符、赋值运算符；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5. 工业应用场景：设备参数初始化（设备ID、名称、工作状态、温度的存储与输出）。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第2次课——“把设备参数存进程序”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输入与输出：input()、print()、f-string格式化；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数据类型转换与单位换算（摄氏度→华氏度、kPa→MPa）；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工单项目0.1实操：定义≥6个变量、涵盖≥3种数据类型，完成设备参数初始化系统；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代码规范启蒙：变量命名规则与PEP 8基础（目标规范率70%）。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掌握Python开发环境搭建方法；掌握变量、基本数据类型与运算符的使用；理解动态类型语言的特点。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能够独立搭建Python开发环境并运行程序；能够编写50-100行的设备参数初始化程序；代码规范率≥70%。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建立对编程工具的信心与兴趣，养成规范命名、及时保存的编码习惯，树立“代码即工程文件”的意识。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Python入门——重点：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变量定义与四种基本数据类型的使用；输入输出与格式化；类型转换的时机与方法。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动态类型概念的理解（变量无类型、值有类型）；整数与浮点数运算的精度差异；规范命名意识的建立。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环境搭建采用“装机工单”分步指引+同桌互查，确保人人环境可用；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用“设备铭牌”类比变量（名字→值），降低抽象度；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第1–3周每课次设置课前5分钟“代码听写/找错”微练习（补打字速度与报错阅读短板），配发人手一份“报错翻译对照表”；开课20分钟内人人产出可运行代码（小步成功设计）。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完成工单项目0.1《设备参数初始化系统》：及格标准定义≥6个变量、≥3种数据类型、规范率≥70%；优秀标准≥8个变量、4种类型、含单位换算与注释、规范率≥90%；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完成环境搭建截图与第一个Hello World程序；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预习条件判断（if/elif/else）。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项目载体：重庆两江智造集团·精密制造事业部｜夜班险情：2号注塑机温度悄悄爬过95℃没人察觉，幸亏李姐巡逻撞见。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本周主题：条件判断 + 告警系统Ⅰ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第3次课——“设备什么时候该报警”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条件判断基础：if/elif/else结构与缩进块；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比较运算与逻辑运算：and、or、not组合条件；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嵌套判断与多级告警（提示/警告/停机）的业务逻辑；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演示：温度阈值判断、压力异常判断的实时告警程序。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第4次课——“多级告警逻辑设计”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工业实时告警场景分析：阈值设定、告警分级、响应措施；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工单项目0.2（上）实操：实现≥2个if条件判断的设备监测程序；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常见错误预防：缩进错误、条件覆盖遗漏、“=”与“==”混淆。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掌握if/elif/else条件判断结构；掌握逻辑运算符组合条件的方法；理解多级告警的业务分级逻辑。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能够编写含多条件嵌套判断的工业监测程序；能够设计≥1个告警函数；代码规范率≥70%。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培养严谨的逻辑思维（边界条件全覆盖），树立工业安全“宁可信其有”的告警意识。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条件判断——重点：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if/elif/else的执行流程；逻辑运算符优先级与短路求值；多级告警的条件设计。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嵌套条件的逻辑梳理与边界值覆盖（临界温度算不算超限）；条件冲突与冗余判断的识别。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用“流程图先行”方法：先画告警判断流程图再写代码，降低逻辑错误率；课前5分钟“代码找错”微练习（错误案例取自班级真实报错集）；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采用边界值测试清单（低于/等于/高于阈值）验证程序健壮性；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对C层学生提供条件语句填空框架，保证基本结构正确。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完成工单项目0.2（上）：实现≥2个if条件判断、设计≥1个告警函数；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手绘多级告警流程图一张并标注边界条件；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预习for/while循环结构。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第三周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项目载体：重庆两江智造集团·精密制造事业部｜告警逻辑单机版通过，但王主任要的是'一块屏看全部'。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本周主题：循环结构与函数设计 + 告警系统Ⅱ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第5次课——“让程序自己跑起来”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for循环与range()：遍历设备参数列表；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while循环与退出条件：持续监测的模拟；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break/continue的使用场景与误用警示；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循环优化：减少重复计算、避免死循环。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第6次课——“把重复劳动交给函数”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函数的定义、参数（位置/默认/关键字）与返回值；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变量作用域：局部变量与全局变量；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工单项目0.2（下）实操：循环+函数实现完整的工业实时告警系统（模拟多设备多周期监测）；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代码规范强化：函数命名、文档字符串初步（目标规范率75%）。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掌握for/while循环的结构与适用场景；掌握函数定义、参数传递与返回值；理解变量作用域规则。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能够编写150-300行的循环监测程序；能够设计多个告警函数并进行循环告警测试；代码规范率≥75%。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体会“复用与抽象”的工程价值，培养用函数组织代码的模块化思维。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循环与函数——重点：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for与while的选择依据；函数参数与返回值的设计；循环+函数组合实现持续监测。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while循环退出条件的完备性（死循环防范）；作用域错误导致的“变量未定义”问题；函数职责的合理划分。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用“监控大屏”演示循环输出多设备状态，让循环的价值看得见；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提供死循环“事故案例”分析，强化退出条件设计意识；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函数设计采用“一句话职责”训练：每个函数先用一句话说清做什么再动手写。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完成工单项目0.2（下）完整版《工业实时告警系统》：优秀标准实现多条件嵌套、≥2个告警函数、循环告警测试、规范率≥85%；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重构上周代码：将重复判断改写为函数；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预习类与对象的概念。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第四周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项目载体：重庆两江智造集团·精密制造事业部｜台账、告警的数据散落各处，改一台设备要翻三个文件。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本周主题：类与对象基础 + 设备类设计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第7次课——“从图纸到对象：设备建模”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面向对象思想引入：过程式vs面向对象（设备参数散落vs统一建模）；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类的定义：class关键字、属性与方法；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__init__构造方法与self参数；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对象的创建与成员访问。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第8次课——“给设备装上行为”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设备类设计：Device类（ID、名称、状态、温度属性；启动、停止、获取状态方法）；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工单项目0.3实操：创建多个设备对象实例，演示属性访问与方法调用；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面向对象价值讨论：为什么工业系统偏爱OOP（可扩展、易维护）；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本周不讲继承与多态，专注基本类设计（重点标注）。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理解类与对象的基本概念；掌握属性与方法的定义；掌握__init__构造方法与self的含义。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能够独立设计包含≥2个属性、≥2个方法的设备类；能够创建对象实例并调用方法；代码规范率≥75%。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建立“数据与行为封装”的抽象思维，体会对象建模在工业系统中的组织价值。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类与对象——重点：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类的定义语法与__init__方法；属性与方法的封装；对象实例化与成员调用。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self参数的理解（谁调用就指向谁）；类与实例的关系（图纸与产品）；何时用属性、何时用方法的设计判断。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用“设备铭牌+操作面板”类比类（属性=铭牌参数、方法=按钮），直观建立概念；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采用“先口头描述对象、再翻译成类”的建模训练法；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提供Device类参考骨架，C层学生补全方法即达标。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完成工单项目0.3《工业设备类设计》：及格标准1类+2属性+2方法+2实例；优秀标准≥3属性、≥3方法、3实例并使用__init__；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用自己的话写一段“什么是对象”的理解笔记；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预习继承的概念。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第五周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项目载体：重庆两江智造集团·精密制造事业部｜新采购的PLC和变频器到了，王主任要求新旧设备统一管理。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本周主题：继承与多态 + 设备继承体系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第9次课——“设备的家族谱系”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继承的概念与语法：子类复用父类；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方法覆盖（重写）与super()调用；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封装与访问控制基础：属性约定（_protected）；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演示：Device基类派生PLC、变频器子类。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第10次课——“一套接口，多种设备”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多态：统一接口调用不同子类对象；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工单项目0.4实操：设计设备基类+≥2个子类，实现继承与方法覆盖，演示多态调用；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issubclass/isinstance类型判断；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代码规范：docstring文档字符串规范（目标规范率80%）。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掌握继承的基本语法与方法覆盖；理解多态的实现机制；了解封装与访问控制约定。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能够设计基类与子类继承体系并演示多态调用；能够编写含docstring的规范代码；代码规范率≥80%。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理解“复用与扩展”的系统思维，认识代码复用在大型工业系统中的维护价值。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继承与多态——重点：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继承语法与方法覆盖；super()的使用时机；多态调用的统一接口设计。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多态概念的理解（同一调用、不同行为）；继承层次的设计把握（避免过度继承）；super()与直接调用父类方法的差异。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用“设备产品族”（基类=通用设备、子类=PLC/变频器/传感器）类比继承体系；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多态采用“统一启停演练”演示：循环调用所有设备的start()观察不同行为；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设置“继承滥用反例”讨论（为继承而继承），培养设计判断力。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完成工单项目0.4《工业设备继承体系》：及格标准1基类+2子类+继承覆盖；优秀标准≥3子类、多态演示清晰、含docstring、规范率≥90%；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绘制本周设备继承体系类图；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预习异常处理机制。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第六周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项目载体：重庆两江智造集团·精密制造事业部｜凌晨的断电让采集程序崩在中途，丢了半小时数据。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本周主题：异常处理与日志 + 健壮采集程序（中期诊断）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第11次课——“程序生病了怎么办”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异常的概念与常见类型：ValueError、FileNotFoundError、TypeError；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try/except/else/finally结构；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异常的捕获策略：精确捕获vs宽泛捕获；raise主动抛出。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第12次课——“给程序写病历本”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logging日志模块：级别、格式、文件输出；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程序调试方法：断点、单步、打印调试法；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工单项目0.5实操：编写健壮的工业数据采集程序（捕获文件不存在、数据格式错误等≥2种异常，记录日志）；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中期诊断：进度检查、困难学生识别、补强计划启动。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掌握try/except/finally异常处理结构；掌握logging日志模块的基本使用；了解程序调试的常用方法。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能够编写捕获≥3种异常并记录日志的健壮采集程序；能够使用日志定位问题；代码规范率≥80%。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树立“程序会出错”的工程危机意识，培养防患于未然的健壮性设计习惯。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异常与日志——重点：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try/except/finally的执行流程；常见异常类型的识别与捕获；日志级别选择与格式设置。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异常捕获粒度的把握（过粗掩盖问题、过细代码冗长）；日志与print的取舍；异常处理后程序流程的恢复策略。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采用“故障注入”教学法：故意删文件、输错数据触发异常，让学生“看见”异常；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提供标准日志配置模板，统一班级日志格式；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结合中期诊断结果，为困难学生开启分步工单与学习伙伴帮扶。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完成工单项目0.5《健壮的工业数据采集程序》：及格标准处理≥2种异常+基本日志；优秀标准≥3种异常+try/except/finally完整+日志可追踪；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完成中期自评表与学习计划修订；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预习列表与字典容器。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第七周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项目载体：重庆两江智造集团·精密制造事业部｜车间数据三张皮：设备报文、CSV台账、JSON配置互不相认。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模块1：数据结构、第三方库应用与网络编程（W7–W12）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本周主题：容器与字符串处理 + 格式转换工具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第13次课——“用容器装下整条产线”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列表：定义、索引、切片、增删改查、遍历；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字典：键值对建模设备属性、get方法、遍历；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集合与元组：去重、不可变序列的用途。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第14次课——“从杂乱报文中提取信息”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字符串处理：split/join/strip/replace；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正则表达式基础：re.match、re.search、re.findall、常用模式（数字、字母、中文）；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工单项目1.1实操：编写工业数据格式转换工具（正则提取关键字段+容器组织数据）；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综合演练：解析“设备ID:压力值:状态”格式的报文串。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掌握列表、字典、集合的特性和基本操作；掌握字符串常用方法与正则表达式基础语法。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能够使用正则从工业报文中提取关键信息并用容器组织数据；能够完成≥2种数据格式的转换；代码规范率≥75%。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体会“选择合适数据结构”对程序清晰度的影响，培养数据组织的设计意识。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容器与正则——重点：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列表与字典的操作与遍历；正则表达式常用模式与re模块三方法；容器选型（何时用列表/字典/集合）。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正则表达式元字符的记忆与组合运用；贪婪匹配与非贪婪匹配；字典嵌套结构的数据访问。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正则教学采用“模式积木法”：先掌握\d、\w、[]、+、*八块积木再组合；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提供在线正则测试工具辅助即时验证，降低调试挫败感；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用真实工业报文样例做练习，强化岗位代入感。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完成工单项目1.1《工业数据格式转换工具》：及格标准处理≥2种格式+使用正则；优秀标准≥3种格式+结构清晰+规范率≥90%；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完成10条报文解析练习；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预习文件读写操作。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第八周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项目载体：重庆两江智造集团·精密制造事业部｜中台抽检打回上月数据：缺温度、类型错、还有135℃的'过热'记录。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本周主题：文件I/O与JSON/CSV数据处理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第15次课——“让数据活过下一次关机”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文件读写：open函数、with上下文管理器、read/readline/readlines；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文本文件写入与追加模式；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CSV文件处理：csv模块读写产线数据。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第16次课——“工业数据的通用语言”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JSON数据格式：json.loads/dumps、嵌套结构解析；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数据验证与清洗基础：缺失值检测、类型校验、范围检查；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工单项目1.2实操：读取CSV/JSON工业数据文件，进行验证清洗，输出标准化数据。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掌握文件读写与with语句的使用；掌握JSON/CSV两种格式的解析与生成方法；理解数据验证与清洗的基本策略。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能够正确读写≥2种文件格式并进行基本数据验证；能够输出标准化数据文件；代码规范率≥80%。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树立数据质量意识（脏数据进、垃圾出），养成文件操作及时关闭的资源管理习惯。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文件与数据——重点：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with open的规范用法；JSON与CSV的读写流程；数据验证的三个维度（缺失、类型、范围）。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JSON嵌套结构的层级访问；编码问题（UTF-8/GBK）的处理；异常数据行对整体流程的影响与容错。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用“档案柜”类比文件操作（打开-存取-关闭），强调with的自动关闭价值；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提供故意含脏数据的CSV样例，让学生在“找茬”中学会验证规则设计；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编码问题统一采用UTF-8规范并演示错误案例的解决过程。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完成工单项目1.2《工业数据文件处理系统》：及格标准读写≥2种格式+基本验证；优秀标准验证多维度+输出清晰+规范率≥90%；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编写一个“数据体检脚本”：统计文件缺失值数量；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预习jieba分词的安装与使用。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第九周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项目载体：重庆两江智造集团·精密制造事业部｜月底设备分析会，王主任要'一页纸看清故障规律'。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本周主题：jieba分词与wordcloud词云 + 故障分析报告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第17次课——“读懂成千上万条故障描述”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第三方库的安装：pip工具与镜像源配置；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jieba中文分词：精确模式、全模式、搜索引擎模式；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关键词提取：jieba.analyse（TF-IDF原理直观介绍）。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第18次课——“把故障数据画成一朵云”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wordcloud词云生成：参数配置、中文字体设置、蒙版形状；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matplotlib基础绘图：柱状图展示高频故障词；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工单项目1.3实操：读取故障说明文本→分词→关键词提取→词云可视化，完成《工业故障分析报告》；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分组汇报：从词云中发现了什么故障规律。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掌握pip安装第三方库的方法；掌握jieba分词与关键词提取；理解词云可视化的原理与配置。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能够完成“文本→分词→关键词→词云”的完整分析链路；能够结合matplotlib呈现分析结果；代码规范率≥85%。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体会数据可视化对管理决策的沟通价值，培养从数据中提炼洞察的分析习惯。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文本分析——重点：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jieba三种分词模式的选择；关键词提取流程；wordcloud参数配置与中文字体问题。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分词效果的影响因素（自定义词典、停用词）；词云美观与信息量的平衡；从可视化结果提炼业务结论。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用“领导要看的一页纸”情境引入可视化价值；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提供停用词表与自定义词典样例，直接改善分词效果；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词云配置采用“参数实验记录表”，让学生有依据地调参而非乱试。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完成工单项目1.3《工业故障分析报告生成系统》：及格标准正确分词+生成词云；优秀标准分词准确+词云美观+洞察深入+规范率≥90%；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撰写200字故障规律分析结论；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预习Pillow图像处理基础。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项目载体：重庆两江智造集团·精密制造事业部｜集团质量月检查，要求图文并茂的日报。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本周主题：Pillow图像处理与reportlab报告生成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第19次课——“给故障图片做标注”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Pillow图像基础：打开、保存、尺寸、缩放、裁剪；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图像增强：亮度、对比度调整；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ImageDraw绘制标注：缺陷区域画框、文字标注。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第20次课——“一键生成质量日报”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reportlab基础：画布、字体注册、段落与表格；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图文混排：插入标注图像与统计表格；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工单项目1.4实操：处理设备故障图像（标注缺陷区域）并生成包含图表和图像的PDF报告。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掌握Pillow图像读写、缩放裁剪与绘制标注的方法；掌握reportlab生成PDF报告的基本流程。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能够对故障图像进行缺陷标注；能够生成图文并茂的PDF质量报告；代码规范率≥85%。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培养“交付物意识”——程序输出要面向使用者（报告即产品），提升职业化表达素养。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图像与报告——重点：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Pillow图像操作与ImageDraw标注；reportlab的段落/表格/图片三大对象；中文字体注册。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PDF排版布局的坐标体系理解；中文字体不显示问题的解决；图像处理参数与报告美观度的协调。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提供“报告模板代码”（标题+段落+表格+图片骨架），学生填充内容即可成型；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中文字体问题统一发放字体文件与注册代码片段；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组织“最美报告”投票，以评促学。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完成工单项目1.4《工业图像处理与报告生成》：及格标准图像处理完成+PDF可生成；优秀标准处理精细+排版专业+规范率≥90%；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为自己的报告设计一个封面；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预习网络基础知识（IP、端口、协议）。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第十一周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项目载体：重庆两江智造集团·精密制造事业部｜数字化转型办终于把边缘网关接到了车间，Modbus口和MQTT通道都通了（本地模拟环境）。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本周主题：网络编程与工业通信协议 + 数据采集系统（末期复习）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第21次课——“设备如何在网络上说话”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网络基础：IP地址、端口、TCP/IP模型；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工业协议概览：HTTP、MQTT发布-订阅模式、Modbus寄存器概念；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Socket编程：TCP客户端/服务端（echo演练）。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第22次课——“从虚拟设备采数到云端上报”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pymodbus读取虚拟PLC寄存器数据；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paho-mqtt连接Broker、发布/订阅主题；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工单项目1.5实操：Modbus定时采集+MQTT上报的完整数据采集系统；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末期复习：核心知识点串讲与综合项目答疑。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理解TCP/IP、HTTP、MQTT、Modbus协议的基础概念；掌握Socket编程基本方法；了解工业数据采集的报文结构。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能够完成Modbus连接读取与MQTT消息发布；能够编写完整的工业互联网数据采集系统；代码规范率≥90%。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建立网络通信的调试排障思维（连通性→配置→代码），培养工业现场“协议就是语言”的规范意识。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网络编程——重点：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TCP客户端/服务端模型；MQTT主题与QoS概念；Modbus寄存器读写流程。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网络故障的分层排查思路；异步回调机制的理解（MQTT on_message）；多协议组合系统的数据流梳理。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搭建本地虚拟产线环境（Modbus模拟器+MQTT Broker），人人可实操；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提供“网络排错三步法”（ping通→订阅通→代码通）作为调试指南；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综合项目提前发布选题，末期复习与项目启动并轨。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完成工单项目1.5《工业互联网数据采集系统》：及格标准Modbus读取+MQTT发布基本工作；优秀标准采集完整+消息规范+异常处理完善+规范率≥90%；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完成综合项目需求分析与分工计划；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复习全课程知识清单，准备综合项目答辩。</w:t>
            </w:r>
          </w:p>
        </w:tc>
      </w:tr>
      <w:tr w14:paraId="662814FF">
        <w:trPr>
          <w:trHeight w:val="532" w:hRule="atLeast"/>
        </w:trPr>
        <w:tc>
          <w:tcPr>
            <w:tcW w:w="1238" w:type="dxa"/>
            <w:vAlign w:val="center"/>
          </w:tcPr>
          <w:p w14:paraId="7FC76D79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第十二周</w:t>
            </w:r>
          </w:p>
        </w:tc>
        <w:tc>
          <w:tcPr>
            <w:tcW w:w="3558" w:type="dxa"/>
            <w:vAlign w:val="center"/>
          </w:tcPr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⚙ 项目载体：重庆两江智造集团·精密制造事业部｜答辩日。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本周主题：综合项目开发与答辩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授课内容：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第23次课——“项目终验联调与预答辩”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综合项目《工业互联网完整数据处理系统》终验联调：按checklist（功能项+规范项+演示项）逐项自查互查；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预答辩热身：组内互问互评（答辩必答题演练：架构、数据流、异常处理）；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完善演示材料（PPT与演示视频第24次课课前提交）；开发主体工作已于第11周启动、课后推进。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第24次课——“正式答辩专场”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1. 项目演示：现场运行系统、展示输出报告；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2. 项目答辩：架构讲解、技术问答、创新点陈述；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3. 答辩节奏：≤6组按“8分钟演示+5分钟问答”；♡6组切换“5分钟演示+3分钟问答”，且演示视频（≤3分钟）于课前1天预收、教师预看并带问题入场；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多元评价：教师评价+组间互评+企业导师点评；</w:t>
            </w:r>
          </w:p>
          <w:p w14:paraId="727B5FA2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4. 课程总结与后续课程（《AI应用基础》进阶）衔接说明。</w:t>
            </w:r>
          </w:p>
        </w:tc>
        <w:tc>
          <w:tcPr>
            <w:tcW w:w="557" w:type="dxa"/>
            <w:vAlign w:val="center"/>
          </w:tcPr>
          <w:p w14:paraId="4270536E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533" w:type="dxa"/>
            <w:vAlign w:val="center"/>
          </w:tcPr>
          <w:p w14:paraId="13F5D511">
            <w:pPr>
              <w:spacing w:line="320" w:lineRule="exact"/>
              <w:jc w:val="center"/>
              <w:rPr>
                <w:rFonts w:hint="default" w:ascii="方正仿宋_GB2312" w:hAnsi="方正仿宋_GB2312" w:eastAsia="方正仿宋_GB2312" w:cs="方正仿宋_GB2312"/>
                <w:sz w:val="24"/>
                <w:lang w:val="en-US" w:eastAsia="zh-CN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4"/>
                <w:lang w:val="en-US" w:eastAsia="zh-CN"/>
              </w:rPr>
              <w:t xml:space="preserve">2</w:t>
            </w:r>
          </w:p>
        </w:tc>
        <w:tc>
          <w:tcPr>
            <w:tcW w:w="3173" w:type="dxa"/>
            <w:vAlign w:val="center"/>
          </w:tcPr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知识目标： 综合运用OOP、容器、文件、第三方库、网络编程知识构建完整系统；理解工业数据处理全流程。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能力目标： 能够独立完成系统设计、开发、调试与展示答辩；代码规范率≥90%（优秀≥95%）；能够清晰表达设计思路并回答技术问题。</w:t>
            </w:r>
          </w:p>
          <w:p w14:paraId="50B471F6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素质目标： 体验完整项目交付流程，培养团队协作、时间管理与成果表达的综合职业素养。</w:t>
            </w:r>
          </w:p>
        </w:tc>
        <w:tc>
          <w:tcPr>
            <w:tcW w:w="1861" w:type="dxa"/>
            <w:vAlign w:val="center"/>
          </w:tcPr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综合项目——重点：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系统架构设计（模块划分与数据流）；各知识点的集成运用；演示与答辩表达。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难点：</w:t>
            </w:r>
          </w:p>
          <w:p w14:paraId="7510341F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</w:pPr>
            <w:r>
              <w:rPr>
                <w:rFonts w:hint="eastAsia" w:ascii="方正仿宋_GB2312" w:hAnsi="方正仿宋_GB2312" w:eastAsia="方正仿宋_GB2312" w:cs="方正仿宋_GB2312"/>
                <w:sz w:val="21"/>
                <w:szCs w:val="21"/>
              </w:rPr>
              <w:t xml:space="preserve">模块间接口的衔接与整体联调；临场技术问题的定位与应变；答辩中技术细节的准确表述。</w:t>
            </w:r>
          </w:p>
        </w:tc>
        <w:tc>
          <w:tcPr>
            <w:tcW w:w="1918" w:type="dxa"/>
            <w:vAlign w:val="center"/>
          </w:tcPr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提供项目checklist（功能项+规范项+演示项）供自查；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答辩前一轮“预演互评”，小组互相提问预热；</w:t>
            </w:r>
          </w:p>
          <w:p w14:paraId="3F4FE2A3">
            <w:p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教师与企业导师联合评审，按D/C/B/A四级现场评分。</w:t>
            </w:r>
          </w:p>
        </w:tc>
        <w:tc>
          <w:tcPr>
            <w:tcW w:w="1162" w:type="dxa"/>
            <w:vAlign w:val="center"/>
          </w:tcPr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1. 提交综合项目完整材料：代码、报告、演示视频；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2. 完成课程学习反思（一页纸总结）；</w:t>
            </w:r>
          </w:p>
          <w:p w14:paraId="425D952B">
            <w:pPr>
              <w:numPr>
                <w:ilvl w:val="0"/>
                <w:numId w:val="0"/>
              </w:numPr>
              <w:spacing w:line="320" w:lineRule="exact"/>
              <w:jc w:val="left"/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方正仿宋_GB2312" w:hAnsi="方正仿宋_GB2312" w:eastAsia="方正仿宋_GB2312" w:cs="方正仿宋_GB2312"/>
                <w:color w:val="000000"/>
                <w:kern w:val="0"/>
                <w:sz w:val="21"/>
                <w:szCs w:val="21"/>
                <w:lang w:bidi="ar"/>
              </w:rPr>
              <w:t xml:space="preserve">3. 了解后续《AI应用基础》课程衔接内容。</w:t>
            </w:r>
          </w:p>
        </w:tc>
      </w:tr>
      <w:tr w14:paraId="7DDBFD59">
        <w:trPr>
          <w:trHeight w:val="438" w:hRule="atLeast"/>
        </w:trPr>
        <w:tc>
          <w:tcPr>
            <w:tcW w:w="1238" w:type="dxa"/>
            <w:vAlign w:val="center"/>
          </w:tcPr>
          <w:p w14:paraId="4B667662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32B22FA6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合计</w:t>
            </w:r>
          </w:p>
        </w:tc>
        <w:tc>
          <w:tcPr>
            <w:tcW w:w="557" w:type="dxa"/>
            <w:vAlign w:val="center"/>
          </w:tcPr>
          <w:p w14:paraId="54F07DF7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533" w:type="dxa"/>
            <w:vAlign w:val="center"/>
          </w:tcPr>
          <w:p w14:paraId="2F0A833F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24</w:t>
            </w:r>
          </w:p>
        </w:tc>
        <w:tc>
          <w:tcPr>
            <w:tcW w:w="3173" w:type="dxa"/>
            <w:vAlign w:val="center"/>
          </w:tcPr>
          <w:p w14:paraId="7A3A586F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FF44EA7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1976B96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4BDC28AD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6057C75A">
        <w:trPr>
          <w:trHeight w:val="425" w:hRule="atLeast"/>
        </w:trPr>
        <w:tc>
          <w:tcPr>
            <w:tcW w:w="1238" w:type="dxa"/>
            <w:vAlign w:val="center"/>
          </w:tcPr>
          <w:p w14:paraId="34E2FA07">
            <w:pPr>
              <w:spacing w:line="320" w:lineRule="exact"/>
              <w:jc w:val="center"/>
              <w:rPr>
                <w:rFonts w:ascii="Times New Roman" w:hAnsi="Times New Roman" w:eastAsia="方正仿宋_GBK" w:cs="方正仿宋_GBK"/>
                <w:sz w:val="24"/>
              </w:rPr>
            </w:pPr>
          </w:p>
        </w:tc>
        <w:tc>
          <w:tcPr>
            <w:tcW w:w="3558" w:type="dxa"/>
            <w:vAlign w:val="center"/>
          </w:tcPr>
          <w:p w14:paraId="1874EACB">
            <w:pPr>
              <w:spacing w:line="320" w:lineRule="exact"/>
              <w:jc w:val="center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</w:rPr>
              <w:t>总计</w:t>
            </w:r>
          </w:p>
        </w:tc>
        <w:tc>
          <w:tcPr>
            <w:tcW w:w="1090" w:type="dxa"/>
            <w:gridSpan w:val="2"/>
            <w:vAlign w:val="center"/>
          </w:tcPr>
          <w:p w14:paraId="27EFC688">
            <w:pPr>
              <w:spacing w:line="320" w:lineRule="exact"/>
              <w:jc w:val="center"/>
              <w:rPr>
                <w:rFonts w:hint="default" w:ascii="方正小标宋_GBK" w:hAnsi="方正小标宋_GBK" w:eastAsia="方正小标宋_GBK" w:cs="方正小标宋_GBK"/>
                <w:sz w:val="24"/>
                <w:lang w:val="en-US" w:eastAsia="zh-CN"/>
              </w:rPr>
            </w:pPr>
            <w:r>
              <w:rPr>
                <w:rFonts w:hint="eastAsia" w:ascii="方正小标宋_GBK" w:hAnsi="方正小标宋_GBK" w:eastAsia="方正小标宋_GBK" w:cs="方正小标宋_GBK"/>
                <w:sz w:val="24"/>
                <w:lang w:val="en-US" w:eastAsia="zh-CN"/>
              </w:rPr>
              <w:t xml:space="preserve">48</w:t>
            </w:r>
          </w:p>
        </w:tc>
        <w:tc>
          <w:tcPr>
            <w:tcW w:w="3173" w:type="dxa"/>
            <w:vAlign w:val="center"/>
          </w:tcPr>
          <w:p w14:paraId="463F5E5C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861" w:type="dxa"/>
            <w:vAlign w:val="center"/>
          </w:tcPr>
          <w:p w14:paraId="418AE306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918" w:type="dxa"/>
            <w:vAlign w:val="center"/>
          </w:tcPr>
          <w:p w14:paraId="630EB669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  <w:tc>
          <w:tcPr>
            <w:tcW w:w="1162" w:type="dxa"/>
            <w:vAlign w:val="center"/>
          </w:tcPr>
          <w:p w14:paraId="3F37C3C8">
            <w:pPr>
              <w:spacing w:line="320" w:lineRule="exact"/>
              <w:jc w:val="left"/>
              <w:rPr>
                <w:rFonts w:hint="eastAsia" w:ascii="方正小标宋_GBK" w:hAnsi="方正小标宋_GBK" w:eastAsia="方正小标宋_GBK" w:cs="方正小标宋_GBK"/>
                <w:sz w:val="24"/>
              </w:rPr>
            </w:pPr>
          </w:p>
        </w:tc>
      </w:tr>
      <w:tr w14:paraId="3DC082FB">
        <w:trPr>
          <w:trHeight w:val="1451" w:hRule="atLeast"/>
        </w:trPr>
        <w:tc>
          <w:tcPr>
            <w:tcW w:w="14000" w:type="dxa"/>
            <w:gridSpan w:val="8"/>
            <w:vAlign w:val="center"/>
          </w:tcPr>
          <w:p w14:paraId="631029D0">
            <w:pPr>
              <w:spacing w:line="320" w:lineRule="exact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说明：1.授课教师请按任务书学时编制授课计划。     </w:t>
            </w:r>
          </w:p>
          <w:p w14:paraId="5A123726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 xml:space="preserve">2.节假日放假占据的学时要列在授课计划中。    </w:t>
            </w:r>
          </w:p>
          <w:p w14:paraId="0D592332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3.授课计划不能随意调动和变化。</w:t>
            </w:r>
          </w:p>
          <w:p w14:paraId="7AB98208">
            <w:pPr>
              <w:spacing w:line="320" w:lineRule="exact"/>
              <w:ind w:firstLine="720" w:firstLineChars="300"/>
              <w:jc w:val="left"/>
              <w:rPr>
                <w:rFonts w:ascii="Times New Roman" w:hAnsi="Times New Roman" w:eastAsia="方正仿宋_GBK" w:cs="方正仿宋_GBK"/>
                <w:sz w:val="24"/>
              </w:rPr>
            </w:pPr>
            <w:r>
              <w:rPr>
                <w:rFonts w:hint="eastAsia" w:ascii="Times New Roman" w:hAnsi="Times New Roman" w:eastAsia="方正仿宋_GBK" w:cs="方正仿宋_GBK"/>
                <w:sz w:val="24"/>
              </w:rPr>
              <w:t>4.学时以2学时为一个单元编制。</w:t>
            </w:r>
          </w:p>
        </w:tc>
      </w:tr>
    </w:tbl>
    <w:p w14:paraId="78C9DC95">
      <w:pPr>
        <w:rPr>
          <w:rFonts w:ascii="Times New Roman" w:hAnsi="Times New Roman"/>
        </w:rPr>
      </w:pPr>
    </w:p>
    <w:p w14:paraId="3493B2DA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 xml:space="preserve">任课教师签字：                               教研室主任：                       专业负责人：       </w:t>
      </w:r>
    </w:p>
    <w:p w14:paraId="3D08454E">
      <w:pPr>
        <w:spacing w:line="594" w:lineRule="exact"/>
        <w:rPr>
          <w:rFonts w:ascii="Times New Roman" w:hAnsi="Times New Roman" w:eastAsia="方正仿宋_GBK" w:cs="方正仿宋_GBK"/>
          <w:b/>
          <w:bCs/>
          <w:sz w:val="24"/>
          <w:szCs w:val="32"/>
        </w:rPr>
      </w:pPr>
      <w:r>
        <w:rPr>
          <w:rFonts w:hint="eastAsia" w:ascii="Times New Roman" w:hAnsi="Times New Roman" w:eastAsia="方正仿宋_GBK" w:cs="方正仿宋_GBK"/>
          <w:b/>
          <w:bCs/>
          <w:sz w:val="24"/>
          <w:szCs w:val="32"/>
        </w:rPr>
        <w:t>院长签字：                                   教务处审核：                        填表时间：</w:t>
      </w:r>
    </w:p>
    <w:sectPr>
      <w:footerReference r:id="rId3" w:type="default"/>
      <w:pgSz w:w="16838" w:h="11906" w:orient="landscape"/>
      <w:pgMar w:top="1984" w:right="1446" w:bottom="1644" w:left="1446" w:header="851" w:footer="1474" w:gutter="0"/>
      <w:pgNumType w:fmt="numberInDash" w:start="1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auto"/>
    <w:pitch w:val="default"/>
    <w:sig w:usb0="E0000EFF" w:usb1="4000785B" w:usb2="00000001" w:usb3="00000000" w:csb0="400001BF" w:csb1="DFF70000"/>
    <w:embedRegular r:id="rId1" w:fontKey="{A4EFAEE0-BC9F-58CC-132C-816A945313D7}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  <w:embedRegular r:id="rId2" w:fontKey="{49CE0415-7A36-EC0C-132C-816AE5E3946A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66D54B0D-49BC-AAD7-132C-816A0F8F2D2E}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方正黑体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745B8D8C-F9AF-3115-132C-816A30319D66}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F64A8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DCE83B5">
                          <w:pPr>
                            <w:pStyle w:val="5"/>
                            <w:ind w:left="210" w:leftChars="100" w:right="210" w:rightChars="100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DCE83B5">
                    <w:pPr>
                      <w:pStyle w:val="5"/>
                      <w:ind w:left="210" w:leftChars="100" w:right="210" w:rightChars="100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TrueTypeFonts/>
  <w:saveSubsetFonts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xZGZmODEwN2NmNGEzMDBhMjE0Mjk0MmExYjc3ZDcifQ=="/>
    <w:docVar w:name="KSO_WPS_MARK_KEY" w:val="275e2eab-afa0-401d-89c4-8937ac50be95"/>
  </w:docVars>
  <w:rsids>
    <w:rsidRoot w:val="00FE326F"/>
    <w:rsid w:val="0001746B"/>
    <w:rsid w:val="00232811"/>
    <w:rsid w:val="004932CE"/>
    <w:rsid w:val="00505830"/>
    <w:rsid w:val="00907EB0"/>
    <w:rsid w:val="0094056D"/>
    <w:rsid w:val="009C4185"/>
    <w:rsid w:val="00B77E2D"/>
    <w:rsid w:val="00FE326F"/>
    <w:rsid w:val="037E0200"/>
    <w:rsid w:val="039B5B6E"/>
    <w:rsid w:val="07724402"/>
    <w:rsid w:val="07E67424"/>
    <w:rsid w:val="08AB646D"/>
    <w:rsid w:val="09293C1C"/>
    <w:rsid w:val="09CF790E"/>
    <w:rsid w:val="0A72235A"/>
    <w:rsid w:val="0B2E5519"/>
    <w:rsid w:val="0BB3579C"/>
    <w:rsid w:val="0CE06691"/>
    <w:rsid w:val="0D470B14"/>
    <w:rsid w:val="10111DEE"/>
    <w:rsid w:val="11FFE822"/>
    <w:rsid w:val="13EF359A"/>
    <w:rsid w:val="1557567A"/>
    <w:rsid w:val="15DF5D8E"/>
    <w:rsid w:val="175C51BC"/>
    <w:rsid w:val="18251E5F"/>
    <w:rsid w:val="184773CA"/>
    <w:rsid w:val="18E53FD2"/>
    <w:rsid w:val="18F7B71A"/>
    <w:rsid w:val="19BE344F"/>
    <w:rsid w:val="1A393593"/>
    <w:rsid w:val="1B3F3CD9"/>
    <w:rsid w:val="1EE172CA"/>
    <w:rsid w:val="1EFF77E4"/>
    <w:rsid w:val="1F791EE8"/>
    <w:rsid w:val="1FEA4D18"/>
    <w:rsid w:val="1FFE18DC"/>
    <w:rsid w:val="234445A9"/>
    <w:rsid w:val="23535F81"/>
    <w:rsid w:val="23BCBD16"/>
    <w:rsid w:val="25FB4663"/>
    <w:rsid w:val="26037A24"/>
    <w:rsid w:val="26EF4A14"/>
    <w:rsid w:val="27144C27"/>
    <w:rsid w:val="2CBD3F75"/>
    <w:rsid w:val="2D854CE8"/>
    <w:rsid w:val="2DA37249"/>
    <w:rsid w:val="2E0C2E11"/>
    <w:rsid w:val="2E89643F"/>
    <w:rsid w:val="2EA46D27"/>
    <w:rsid w:val="2ECE02F6"/>
    <w:rsid w:val="2F7F11EA"/>
    <w:rsid w:val="2F874166"/>
    <w:rsid w:val="30DA7426"/>
    <w:rsid w:val="32FA5796"/>
    <w:rsid w:val="33A057DC"/>
    <w:rsid w:val="34ED18B3"/>
    <w:rsid w:val="35A149B6"/>
    <w:rsid w:val="35BE22C9"/>
    <w:rsid w:val="3AC60AFD"/>
    <w:rsid w:val="3BBD50DE"/>
    <w:rsid w:val="3BE75E0F"/>
    <w:rsid w:val="3C9E1C4F"/>
    <w:rsid w:val="3DB4423A"/>
    <w:rsid w:val="3DFF7568"/>
    <w:rsid w:val="3E5FFB8A"/>
    <w:rsid w:val="3EBA0D2E"/>
    <w:rsid w:val="3EDF7CFE"/>
    <w:rsid w:val="3F7E2D88"/>
    <w:rsid w:val="3FBD32CD"/>
    <w:rsid w:val="3FD7BF02"/>
    <w:rsid w:val="3FDBADDF"/>
    <w:rsid w:val="3FFB8C07"/>
    <w:rsid w:val="3FFD6D90"/>
    <w:rsid w:val="3FFF7B2E"/>
    <w:rsid w:val="3FFFFEA5"/>
    <w:rsid w:val="40EF7984"/>
    <w:rsid w:val="41DF489C"/>
    <w:rsid w:val="41F93484"/>
    <w:rsid w:val="423A3C12"/>
    <w:rsid w:val="42AD6D26"/>
    <w:rsid w:val="42E22404"/>
    <w:rsid w:val="44DFC3CB"/>
    <w:rsid w:val="460C6B11"/>
    <w:rsid w:val="47401871"/>
    <w:rsid w:val="47BF5FC4"/>
    <w:rsid w:val="47F646ED"/>
    <w:rsid w:val="47FFF5A4"/>
    <w:rsid w:val="49CB3958"/>
    <w:rsid w:val="49FFDAA4"/>
    <w:rsid w:val="4A724FA0"/>
    <w:rsid w:val="4B4C441F"/>
    <w:rsid w:val="4B7B979F"/>
    <w:rsid w:val="4C267E2F"/>
    <w:rsid w:val="4C4179AC"/>
    <w:rsid w:val="4F4A3C34"/>
    <w:rsid w:val="4FDBD1ED"/>
    <w:rsid w:val="4FFFEBA7"/>
    <w:rsid w:val="52BE37F2"/>
    <w:rsid w:val="537D6035"/>
    <w:rsid w:val="537E56B2"/>
    <w:rsid w:val="538204B6"/>
    <w:rsid w:val="53FF3AC4"/>
    <w:rsid w:val="54F63B49"/>
    <w:rsid w:val="55BF872A"/>
    <w:rsid w:val="57E51FF2"/>
    <w:rsid w:val="587A3144"/>
    <w:rsid w:val="58826206"/>
    <w:rsid w:val="58982A9A"/>
    <w:rsid w:val="5A290952"/>
    <w:rsid w:val="5A4A16DE"/>
    <w:rsid w:val="5B6E7605"/>
    <w:rsid w:val="5BD92797"/>
    <w:rsid w:val="5BDE7CF3"/>
    <w:rsid w:val="5BEA2363"/>
    <w:rsid w:val="5CF7ED4C"/>
    <w:rsid w:val="5D9910FC"/>
    <w:rsid w:val="5D9F423A"/>
    <w:rsid w:val="5E331DA0"/>
    <w:rsid w:val="5F5F8F80"/>
    <w:rsid w:val="5FDB7FD4"/>
    <w:rsid w:val="63F62454"/>
    <w:rsid w:val="63FBC0E9"/>
    <w:rsid w:val="640D3093"/>
    <w:rsid w:val="64A357A5"/>
    <w:rsid w:val="64E70858"/>
    <w:rsid w:val="677E01F7"/>
    <w:rsid w:val="679F4002"/>
    <w:rsid w:val="67BD1ECB"/>
    <w:rsid w:val="67CF535A"/>
    <w:rsid w:val="6B1B5E29"/>
    <w:rsid w:val="6BDDDD56"/>
    <w:rsid w:val="6BFB7BF5"/>
    <w:rsid w:val="6D464F20"/>
    <w:rsid w:val="6DF38443"/>
    <w:rsid w:val="6DFB2BBF"/>
    <w:rsid w:val="6EAE7221"/>
    <w:rsid w:val="6EFF3724"/>
    <w:rsid w:val="6F6F20AC"/>
    <w:rsid w:val="6FB63D6B"/>
    <w:rsid w:val="6FBA9717"/>
    <w:rsid w:val="6FBDC4F0"/>
    <w:rsid w:val="6FD3421B"/>
    <w:rsid w:val="6FFFB42A"/>
    <w:rsid w:val="70264800"/>
    <w:rsid w:val="71900E5F"/>
    <w:rsid w:val="71FF2BD8"/>
    <w:rsid w:val="729A7468"/>
    <w:rsid w:val="755C3532"/>
    <w:rsid w:val="759E7FEF"/>
    <w:rsid w:val="75C03F21"/>
    <w:rsid w:val="76BB9A44"/>
    <w:rsid w:val="76CE7AD1"/>
    <w:rsid w:val="777AC3A8"/>
    <w:rsid w:val="77BB49C2"/>
    <w:rsid w:val="77EBC6C3"/>
    <w:rsid w:val="77FE5D19"/>
    <w:rsid w:val="79ED50A1"/>
    <w:rsid w:val="7A4F9E8C"/>
    <w:rsid w:val="7B6C9A11"/>
    <w:rsid w:val="7C65617C"/>
    <w:rsid w:val="7CF60F14"/>
    <w:rsid w:val="7D5E1BBA"/>
    <w:rsid w:val="7DF65FE2"/>
    <w:rsid w:val="7E2A0F16"/>
    <w:rsid w:val="7ED7D4DB"/>
    <w:rsid w:val="7EDF957C"/>
    <w:rsid w:val="7EF777E7"/>
    <w:rsid w:val="7F1AAEF0"/>
    <w:rsid w:val="7F37E249"/>
    <w:rsid w:val="7F7F357B"/>
    <w:rsid w:val="7F7FF4EF"/>
    <w:rsid w:val="7FBE020E"/>
    <w:rsid w:val="7FBED1FC"/>
    <w:rsid w:val="7FCE7723"/>
    <w:rsid w:val="7FE5420B"/>
    <w:rsid w:val="7FEEB1ED"/>
    <w:rsid w:val="7FEF8CF5"/>
    <w:rsid w:val="9FCFBF13"/>
    <w:rsid w:val="9FFF12BE"/>
    <w:rsid w:val="ADAE03D1"/>
    <w:rsid w:val="ADED9C49"/>
    <w:rsid w:val="AFFFB502"/>
    <w:rsid w:val="B2FFD1B4"/>
    <w:rsid w:val="B63D12DE"/>
    <w:rsid w:val="B6FF5599"/>
    <w:rsid w:val="B79DB5B5"/>
    <w:rsid w:val="B9DBC68E"/>
    <w:rsid w:val="BDE9D3F9"/>
    <w:rsid w:val="BE7B88AB"/>
    <w:rsid w:val="BFFF784F"/>
    <w:rsid w:val="C7F36AE8"/>
    <w:rsid w:val="CCFBE88E"/>
    <w:rsid w:val="CD36D215"/>
    <w:rsid w:val="CDBB8E98"/>
    <w:rsid w:val="CED92D6B"/>
    <w:rsid w:val="CFC676DC"/>
    <w:rsid w:val="D3EF82AF"/>
    <w:rsid w:val="D3FF8473"/>
    <w:rsid w:val="D67F0A14"/>
    <w:rsid w:val="D6E672CB"/>
    <w:rsid w:val="D86EA111"/>
    <w:rsid w:val="D966F65D"/>
    <w:rsid w:val="D9FD9FF9"/>
    <w:rsid w:val="DA6F567B"/>
    <w:rsid w:val="DBEFE230"/>
    <w:rsid w:val="DCFFE497"/>
    <w:rsid w:val="DD9622D9"/>
    <w:rsid w:val="DEDF8386"/>
    <w:rsid w:val="DF777AA3"/>
    <w:rsid w:val="DF9B39B5"/>
    <w:rsid w:val="DFCEF120"/>
    <w:rsid w:val="DFEDBBE1"/>
    <w:rsid w:val="DFFDDBD2"/>
    <w:rsid w:val="DFFE23EE"/>
    <w:rsid w:val="E7F99A56"/>
    <w:rsid w:val="E7FC8A7E"/>
    <w:rsid w:val="E9ED22AA"/>
    <w:rsid w:val="E9EDC885"/>
    <w:rsid w:val="EA7A87D1"/>
    <w:rsid w:val="EAB7FC46"/>
    <w:rsid w:val="EADBFA45"/>
    <w:rsid w:val="EBBF92AE"/>
    <w:rsid w:val="ED2D8160"/>
    <w:rsid w:val="EDFFD064"/>
    <w:rsid w:val="EF9FEE20"/>
    <w:rsid w:val="EFFF3D69"/>
    <w:rsid w:val="EFFFA37B"/>
    <w:rsid w:val="F3AF3595"/>
    <w:rsid w:val="F3F4849F"/>
    <w:rsid w:val="F46BD3BA"/>
    <w:rsid w:val="F53BEDE3"/>
    <w:rsid w:val="F5B36009"/>
    <w:rsid w:val="F5DAC780"/>
    <w:rsid w:val="F7AFB5C1"/>
    <w:rsid w:val="F7EB5723"/>
    <w:rsid w:val="F7EF6EE6"/>
    <w:rsid w:val="F7FFD00F"/>
    <w:rsid w:val="F95785C2"/>
    <w:rsid w:val="F9F909F0"/>
    <w:rsid w:val="FBDFDF52"/>
    <w:rsid w:val="FD7C5F8F"/>
    <w:rsid w:val="FDFB6F3F"/>
    <w:rsid w:val="FDFF4469"/>
    <w:rsid w:val="FDFF93A2"/>
    <w:rsid w:val="FEBF46BE"/>
    <w:rsid w:val="FEDF9F56"/>
    <w:rsid w:val="FEFBF555"/>
    <w:rsid w:val="FFB45ABA"/>
    <w:rsid w:val="FFBB85B0"/>
    <w:rsid w:val="FFD5495E"/>
    <w:rsid w:val="FFF4D2DD"/>
    <w:rsid w:val="FFF71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line="594" w:lineRule="exact"/>
      <w:jc w:val="center"/>
      <w:outlineLvl w:val="0"/>
    </w:pPr>
    <w:rPr>
      <w:rFonts w:ascii="Calibri" w:hAnsi="Calibri" w:eastAsia="方正小标宋_GBK" w:cs="Calibri"/>
      <w:kern w:val="44"/>
      <w:sz w:val="44"/>
      <w:szCs w:val="21"/>
    </w:rPr>
  </w:style>
  <w:style w:type="paragraph" w:styleId="3">
    <w:name w:val="heading 2"/>
    <w:basedOn w:val="1"/>
    <w:next w:val="1"/>
    <w:qFormat/>
    <w:uiPriority w:val="0"/>
    <w:pPr>
      <w:keepNext/>
      <w:keepLines/>
      <w:spacing w:line="416" w:lineRule="auto"/>
      <w:outlineLvl w:val="1"/>
    </w:pPr>
    <w:rPr>
      <w:rFonts w:ascii="Cambria" w:hAnsi="Cambria" w:cs="Times New Roman"/>
      <w:b/>
      <w:bCs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line="360" w:lineRule="auto"/>
    </w:pPr>
    <w:rPr>
      <w:rFonts w:eastAsia="黑体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11947</Words>
  <Characters>13860</Characters>
  <Lines>5</Lines>
  <Paragraphs>1</Paragraphs>
  <TotalTime>38</TotalTime>
  <ScaleCrop>false</ScaleCrop>
  <LinksUpToDate>false</LinksUpToDate>
  <CharactersWithSpaces>15263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dcterms:modified xsi:type="dcterms:W3CDTF">2026-08-27T00:00:00Z</dcterms:modified>
  <cp:revision>3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35349C02CB5C7E3A132C816A093F5CCE_43</vt:lpwstr>
  </property>
  <property fmtid="{D5CDD505-2E9C-101B-9397-08002B2CF9AE}" pid="4" name="KSOTemplateDocerSaveRecord">
    <vt:lpwstr>eyJoZGlkIjoiY2QyMDRjOGQ3NzQ2NWRiNmI1MjVmODZjYzEzNDBhOWQiLCJ1c2VySWQiOiIyNDAzNTIzMSJ9</vt:lpwstr>
  </property>
</Properties>
</file>