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9FD10">
      <w:pPr>
        <w:jc w:val="center"/>
        <w:rPr>
          <w:rFonts w:hint="eastAsia" w:ascii="等线" w:hAnsi="等线" w:eastAsia="黑体" w:cs="Times New Roman"/>
          <w:b/>
          <w:bCs/>
          <w:sz w:val="52"/>
          <w:szCs w:val="52"/>
        </w:rPr>
      </w:pPr>
      <w:bookmarkStart w:id="6" w:name="_GoBack"/>
      <w:bookmarkEnd w:id="6"/>
      <w:bookmarkStart w:id="0" w:name="_Hlk59913921"/>
      <w:r>
        <w:rPr>
          <w:rFonts w:hint="eastAsia" w:ascii="等线" w:hAnsi="等线" w:eastAsia="黑体" w:cs="Times New Roman"/>
          <w:b/>
          <w:bCs/>
          <w:sz w:val="52"/>
          <w:szCs w:val="52"/>
          <w:lang w:val="en-US" w:eastAsia="zh-CN"/>
        </w:rPr>
        <w:t>重庆现代制造职业</w:t>
      </w:r>
      <w:r>
        <w:rPr>
          <w:rFonts w:hint="eastAsia" w:ascii="等线" w:hAnsi="等线" w:eastAsia="黑体" w:cs="Times New Roman"/>
          <w:b/>
          <w:bCs/>
          <w:sz w:val="52"/>
          <w:szCs w:val="52"/>
        </w:rPr>
        <w:t>学院</w:t>
      </w:r>
    </w:p>
    <w:p w14:paraId="29DDFA59">
      <w:pPr>
        <w:jc w:val="center"/>
        <w:rPr>
          <w:rFonts w:hint="eastAsia" w:ascii="等线" w:hAnsi="等线" w:eastAsia="黑体" w:cs="Times New Roman"/>
          <w:b/>
          <w:bCs/>
          <w:sz w:val="52"/>
          <w:szCs w:val="52"/>
        </w:rPr>
      </w:pPr>
      <w:r>
        <w:rPr>
          <w:rFonts w:hint="eastAsia" w:ascii="等线" w:hAnsi="等线" w:eastAsia="黑体" w:cs="Times New Roman"/>
          <w:b/>
          <w:bCs/>
          <w:sz w:val="52"/>
          <w:szCs w:val="52"/>
        </w:rPr>
        <w:t>课程教学设计</w:t>
      </w:r>
    </w:p>
    <w:tbl>
      <w:tblPr>
        <w:tblStyle w:val="19"/>
        <w:tblpPr w:leftFromText="180" w:rightFromText="180" w:vertAnchor="text" w:horzAnchor="page" w:tblpXSpec="center" w:tblpY="46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8189"/>
      </w:tblGrid>
      <w:tr w14:paraId="16B1E18E">
        <w:trPr>
          <w:trHeight w:val="132" w:hRule="atLeast"/>
          <w:jc w:val="center"/>
        </w:trPr>
        <w:tc>
          <w:tcPr>
            <w:tcW w:w="3005" w:type="dxa"/>
            <w:vAlign w:val="center"/>
          </w:tcPr>
          <w:p w14:paraId="43D9F043">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开课学院</w:t>
            </w:r>
          </w:p>
        </w:tc>
        <w:tc>
          <w:tcPr>
            <w:tcW w:w="8189" w:type="dxa"/>
            <w:vAlign w:val="center"/>
          </w:tcPr>
          <w:p w14:paraId="1AE32291">
            <w:pPr>
              <w:widowControl/>
              <w:jc w:val="center"/>
              <w:rPr>
                <w:rFonts w:hint="eastAsia" w:ascii="黑体" w:hAnsi="黑体" w:eastAsia="黑体" w:cs="Times New Roman"/>
                <w:color w:val="000000"/>
                <w:kern w:val="0"/>
                <w:sz w:val="32"/>
                <w:szCs w:val="32"/>
              </w:rPr>
            </w:pPr>
            <w:r>
              <w:rPr>
                <w:rFonts w:hint="eastAsia" w:ascii="黑体" w:hAnsi="黑体" w:eastAsia="黑体" w:cs="Times New Roman"/>
                <w:color w:val="000000"/>
                <w:kern w:val="0"/>
                <w:sz w:val="32"/>
                <w:szCs w:val="32"/>
              </w:rPr>
              <w:t xml:space="preserve">智能控制学院</w:t>
            </w:r>
          </w:p>
        </w:tc>
      </w:tr>
      <w:tr w14:paraId="47148ADC">
        <w:trPr>
          <w:trHeight w:val="132" w:hRule="atLeast"/>
          <w:jc w:val="center"/>
        </w:trPr>
        <w:tc>
          <w:tcPr>
            <w:tcW w:w="3005" w:type="dxa"/>
            <w:vAlign w:val="center"/>
          </w:tcPr>
          <w:p w14:paraId="4825B260">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课程名称</w:t>
            </w:r>
          </w:p>
        </w:tc>
        <w:tc>
          <w:tcPr>
            <w:tcW w:w="8189" w:type="dxa"/>
            <w:vAlign w:val="center"/>
          </w:tcPr>
          <w:p w14:paraId="6938E776">
            <w:pPr>
              <w:widowControl/>
              <w:jc w:val="center"/>
              <w:rPr>
                <w:rFonts w:hint="default" w:ascii="黑体" w:hAnsi="黑体" w:eastAsia="黑体" w:cs="Times New Roman"/>
                <w:kern w:val="0"/>
                <w:sz w:val="32"/>
                <w:szCs w:val="32"/>
                <w:lang w:val="en-US" w:eastAsia="zh-CN"/>
              </w:rPr>
            </w:pPr>
            <w:r>
              <w:rPr>
                <w:rFonts w:hint="eastAsia" w:ascii="黑体" w:hAnsi="黑体" w:eastAsia="黑体" w:cs="Times New Roman"/>
                <w:sz w:val="32"/>
                <w:szCs w:val="32"/>
                <w:lang w:val="en-US" w:eastAsia="zh-CN"/>
              </w:rPr>
              <w:t xml:space="preserve">AI应用基础</w:t>
            </w:r>
          </w:p>
        </w:tc>
      </w:tr>
      <w:tr w14:paraId="3D074D3E">
        <w:trPr>
          <w:trHeight w:val="132" w:hRule="atLeast"/>
          <w:jc w:val="center"/>
        </w:trPr>
        <w:tc>
          <w:tcPr>
            <w:tcW w:w="3005" w:type="dxa"/>
            <w:vAlign w:val="center"/>
          </w:tcPr>
          <w:p w14:paraId="1326D192">
            <w:pPr>
              <w:widowControl/>
              <w:jc w:val="center"/>
              <w:rPr>
                <w:rFonts w:hint="eastAsia" w:ascii="黑体" w:hAnsi="黑体" w:eastAsia="黑体" w:cs="Times New Roman"/>
                <w:b/>
                <w:bCs/>
                <w:kern w:val="0"/>
                <w:sz w:val="32"/>
                <w:szCs w:val="32"/>
              </w:rPr>
            </w:pPr>
            <w:r>
              <w:rPr>
                <w:rFonts w:hint="eastAsia" w:ascii="黑体" w:hAnsi="黑体" w:eastAsia="黑体" w:cs="Times New Roman"/>
                <w:kern w:val="0"/>
                <w:sz w:val="32"/>
                <w:szCs w:val="32"/>
              </w:rPr>
              <w:t xml:space="preserve">学习情境</w:t>
            </w:r>
          </w:p>
        </w:tc>
        <w:tc>
          <w:tcPr>
            <w:tcW w:w="8189" w:type="dxa"/>
            <w:vAlign w:val="center"/>
          </w:tcPr>
          <w:p w14:paraId="5342997E">
            <w:pPr>
              <w:widowControl/>
              <w:jc w:val="center"/>
              <w:rPr>
                <w:rFonts w:hint="eastAsia" w:ascii="黑体" w:hAnsi="黑体" w:eastAsia="黑体" w:cs="Times New Roman"/>
                <w:b/>
                <w:bCs/>
                <w:sz w:val="32"/>
                <w:szCs w:val="32"/>
              </w:rPr>
            </w:pPr>
            <w:r>
              <w:rPr>
                <w:rFonts w:hint="eastAsia" w:ascii="黑体" w:hAnsi="黑体" w:eastAsia="黑体" w:cs="Times New Roman"/>
                <w:sz w:val="32"/>
                <w:szCs w:val="32"/>
                <w:lang w:val="en-US" w:eastAsia="zh-CN"/>
              </w:rPr>
              <w:t xml:space="preserve">LS3.2: 工业智能应用与AI系统开发</w:t>
            </w:r>
          </w:p>
        </w:tc>
      </w:tr>
      <w:tr w14:paraId="65ECD866">
        <w:trPr>
          <w:trHeight w:val="132" w:hRule="atLeast"/>
          <w:jc w:val="center"/>
        </w:trPr>
        <w:tc>
          <w:tcPr>
            <w:tcW w:w="3005" w:type="dxa"/>
            <w:vAlign w:val="center"/>
          </w:tcPr>
          <w:p w14:paraId="4C6F66A5">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学习领域</w:t>
            </w:r>
          </w:p>
        </w:tc>
        <w:tc>
          <w:tcPr>
            <w:tcW w:w="8189" w:type="dxa"/>
            <w:vAlign w:val="center"/>
          </w:tcPr>
          <w:p w14:paraId="68C197E3">
            <w:pPr>
              <w:widowControl/>
              <w:jc w:val="center"/>
              <w:rPr>
                <w:rFonts w:hint="eastAsia" w:ascii="黑体" w:hAnsi="黑体" w:eastAsia="黑体" w:cs="Times New Roman"/>
                <w:color w:val="000000"/>
                <w:kern w:val="0"/>
                <w:sz w:val="30"/>
                <w:szCs w:val="30"/>
              </w:rPr>
            </w:pPr>
            <w:r>
              <w:rPr>
                <w:rFonts w:hint="eastAsia" w:ascii="黑体" w:hAnsi="黑体" w:eastAsia="黑体" w:cs="Times New Roman"/>
                <w:color w:val="000000"/>
                <w:kern w:val="0"/>
                <w:sz w:val="30"/>
                <w:szCs w:val="30"/>
              </w:rPr>
              <w:t xml:space="preserve">LF3: 工业互联网数据分析与智能应用</w:t>
            </w:r>
          </w:p>
        </w:tc>
      </w:tr>
      <w:tr w14:paraId="628CB86A">
        <w:trPr>
          <w:trHeight w:val="85" w:hRule="atLeast"/>
          <w:jc w:val="center"/>
        </w:trPr>
        <w:tc>
          <w:tcPr>
            <w:tcW w:w="3005" w:type="dxa"/>
            <w:vAlign w:val="center"/>
          </w:tcPr>
          <w:p w14:paraId="365D99A1">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授课学期</w:t>
            </w:r>
          </w:p>
        </w:tc>
        <w:tc>
          <w:tcPr>
            <w:tcW w:w="8189" w:type="dxa"/>
            <w:vAlign w:val="center"/>
          </w:tcPr>
          <w:p w14:paraId="3FDB7E65">
            <w:pPr>
              <w:widowControl/>
              <w:jc w:val="center"/>
              <w:rPr>
                <w:rFonts w:hint="eastAsia" w:ascii="黑体" w:hAnsi="黑体" w:eastAsia="黑体" w:cs="Times New Roman"/>
                <w:color w:val="000000"/>
                <w:kern w:val="0"/>
                <w:sz w:val="32"/>
                <w:szCs w:val="32"/>
              </w:rPr>
            </w:pPr>
            <w:r>
              <w:rPr>
                <w:rFonts w:hint="eastAsia" w:ascii="黑体" w:hAnsi="黑体" w:eastAsia="黑体" w:cs="Times New Roman"/>
                <w:color w:val="000000"/>
                <w:kern w:val="0"/>
                <w:sz w:val="32"/>
                <w:szCs w:val="32"/>
              </w:rPr>
              <w:t xml:space="preserve">2026 - 2027 学年第一学期</w:t>
            </w:r>
          </w:p>
        </w:tc>
      </w:tr>
      <w:tr w14:paraId="33C0FCE2">
        <w:trPr>
          <w:trHeight w:val="85" w:hRule="atLeast"/>
          <w:jc w:val="center"/>
        </w:trPr>
        <w:tc>
          <w:tcPr>
            <w:tcW w:w="3005" w:type="dxa"/>
            <w:vAlign w:val="center"/>
          </w:tcPr>
          <w:p w14:paraId="4B8B9E89">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授课教师</w:t>
            </w:r>
          </w:p>
        </w:tc>
        <w:tc>
          <w:tcPr>
            <w:tcW w:w="8189" w:type="dxa"/>
            <w:vAlign w:val="center"/>
          </w:tcPr>
          <w:p w14:paraId="464DDA6A">
            <w:pPr>
              <w:widowControl/>
              <w:jc w:val="center"/>
              <w:rPr>
                <w:rFonts w:hint="eastAsia" w:ascii="黑体" w:hAnsi="黑体" w:eastAsia="黑体" w:cs="Times New Roman"/>
                <w:color w:val="000000"/>
                <w:kern w:val="0"/>
                <w:sz w:val="32"/>
                <w:szCs w:val="32"/>
                <w:lang w:val="en-US" w:eastAsia="zh-CN"/>
              </w:rPr>
            </w:pPr>
            <w:r>
              <w:rPr>
                <w:rFonts w:hint="eastAsia" w:ascii="黑体" w:hAnsi="黑体" w:eastAsia="黑体" w:cs="Times New Roman"/>
                <w:color w:val="000000"/>
                <w:kern w:val="0"/>
                <w:sz w:val="32"/>
                <w:szCs w:val="32"/>
              </w:rPr>
              <w:t xml:space="preserve">学校教师：</w:t>
            </w:r>
          </w:p>
        </w:tc>
      </w:tr>
      <w:tr w14:paraId="325732AD">
        <w:trPr>
          <w:trHeight w:val="85" w:hRule="atLeast"/>
          <w:jc w:val="center"/>
        </w:trPr>
        <w:tc>
          <w:tcPr>
            <w:tcW w:w="3005" w:type="dxa"/>
            <w:vAlign w:val="center"/>
          </w:tcPr>
          <w:p w14:paraId="0DB244EB">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授课专业及班级</w:t>
            </w:r>
          </w:p>
        </w:tc>
        <w:tc>
          <w:tcPr>
            <w:tcW w:w="8189" w:type="dxa"/>
            <w:vAlign w:val="center"/>
          </w:tcPr>
          <w:p w14:paraId="0B0AA48C">
            <w:pPr>
              <w:widowControl/>
              <w:jc w:val="center"/>
              <w:rPr>
                <w:rFonts w:hint="eastAsia" w:ascii="黑体" w:hAnsi="黑体" w:eastAsia="黑体" w:cs="Times New Roman"/>
                <w:color w:val="000000"/>
                <w:kern w:val="0"/>
                <w:sz w:val="32"/>
                <w:szCs w:val="32"/>
              </w:rPr>
            </w:pPr>
            <w:r>
              <w:rPr>
                <w:rFonts w:hint="eastAsia" w:ascii="黑体" w:hAnsi="黑体" w:eastAsia="黑体" w:cs="Times New Roman"/>
                <w:color w:val="000000"/>
                <w:kern w:val="0"/>
                <w:sz w:val="32"/>
                <w:szCs w:val="32"/>
              </w:rPr>
              <w:t xml:space="preserve">2026级工业互联网应用专业1～2班</w:t>
            </w:r>
          </w:p>
        </w:tc>
      </w:tr>
      <w:tr w14:paraId="01493CE8">
        <w:trPr>
          <w:trHeight w:val="384" w:hRule="atLeast"/>
          <w:jc w:val="center"/>
        </w:trPr>
        <w:tc>
          <w:tcPr>
            <w:tcW w:w="3005" w:type="dxa"/>
            <w:vAlign w:val="center"/>
          </w:tcPr>
          <w:p w14:paraId="563FE9F1">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总学时</w:t>
            </w:r>
          </w:p>
        </w:tc>
        <w:tc>
          <w:tcPr>
            <w:tcW w:w="8189" w:type="dxa"/>
            <w:vAlign w:val="center"/>
          </w:tcPr>
          <w:p w14:paraId="6CFEAD3F">
            <w:pPr>
              <w:widowControl/>
              <w:jc w:val="center"/>
              <w:rPr>
                <w:rFonts w:hint="default" w:ascii="黑体" w:hAnsi="黑体" w:eastAsia="黑体" w:cs="Times New Roman"/>
                <w:color w:val="000000"/>
                <w:kern w:val="0"/>
                <w:sz w:val="32"/>
                <w:szCs w:val="32"/>
                <w:lang w:val="en-US" w:eastAsia="zh-CN"/>
              </w:rPr>
            </w:pPr>
            <w:r>
              <w:rPr>
                <w:rFonts w:hint="eastAsia" w:ascii="黑体" w:hAnsi="黑体" w:eastAsia="黑体" w:cs="Times New Roman"/>
                <w:color w:val="000000"/>
                <w:kern w:val="0"/>
                <w:sz w:val="32"/>
                <w:szCs w:val="32"/>
                <w:lang w:val="en-US" w:eastAsia="zh-CN"/>
              </w:rPr>
              <w:t xml:space="preserve">16</w:t>
            </w:r>
          </w:p>
        </w:tc>
      </w:tr>
      <w:tr w14:paraId="5FD40960">
        <w:trPr>
          <w:trHeight w:val="384" w:hRule="atLeast"/>
          <w:jc w:val="center"/>
        </w:trPr>
        <w:tc>
          <w:tcPr>
            <w:tcW w:w="3005" w:type="dxa"/>
            <w:vAlign w:val="center"/>
          </w:tcPr>
          <w:p w14:paraId="4C613059">
            <w:pPr>
              <w:widowControl/>
              <w:jc w:val="center"/>
              <w:rPr>
                <w:rFonts w:hint="eastAsia" w:ascii="黑体" w:hAnsi="黑体" w:eastAsia="黑体" w:cs="Times New Roman"/>
                <w:kern w:val="0"/>
                <w:sz w:val="32"/>
                <w:szCs w:val="32"/>
              </w:rPr>
            </w:pPr>
            <w:r>
              <w:rPr>
                <w:rFonts w:hint="eastAsia" w:ascii="黑体" w:hAnsi="黑体" w:eastAsia="黑体" w:cs="Times New Roman"/>
                <w:kern w:val="0"/>
                <w:sz w:val="32"/>
                <w:szCs w:val="32"/>
              </w:rPr>
              <w:t xml:space="preserve">备注：</w:t>
            </w:r>
          </w:p>
        </w:tc>
        <w:tc>
          <w:tcPr>
            <w:tcW w:w="8189" w:type="dxa"/>
            <w:vAlign w:val="center"/>
          </w:tcPr>
          <w:p w14:paraId="789E320A">
            <w:pPr>
              <w:widowControl/>
              <w:jc w:val="left"/>
              <w:rPr>
                <w:rFonts w:hint="eastAsia" w:ascii="黑体" w:hAnsi="黑体" w:eastAsia="黑体" w:cs="Times New Roman"/>
                <w:kern w:val="0"/>
                <w:sz w:val="24"/>
                <w:szCs w:val="24"/>
              </w:rPr>
            </w:pPr>
            <w:r>
              <w:rPr>
                <w:rFonts w:hint="eastAsia" w:ascii="黑体" w:hAnsi="黑体" w:eastAsia="黑体" w:cs="Times New Roman"/>
                <w:kern w:val="0"/>
                <w:sz w:val="24"/>
                <w:szCs w:val="24"/>
              </w:rPr>
              <w:t xml:space="preserve">工作任务：WT3.2: 工业设备智能监测与AI应用开发</w:t>
            </w:r>
          </w:p>
          <w:p w14:paraId="789E320A">
            <w:pPr>
              <w:widowControl/>
              <w:jc w:val="left"/>
              <w:rPr>
                <w:rFonts w:hint="eastAsia" w:ascii="黑体" w:hAnsi="黑体" w:eastAsia="黑体" w:cs="Times New Roman"/>
                <w:kern w:val="0"/>
                <w:sz w:val="24"/>
                <w:szCs w:val="24"/>
              </w:rPr>
            </w:pPr>
            <w:r>
              <w:rPr>
                <w:rFonts w:hint="eastAsia" w:ascii="黑体" w:hAnsi="黑体" w:eastAsia="黑体" w:cs="Times New Roman"/>
                <w:kern w:val="0"/>
                <w:sz w:val="24"/>
                <w:szCs w:val="24"/>
              </w:rPr>
              <w:t xml:space="preserve">工作情境：3.2 工业智能应用开发（第6-13周，每周2课时）</w:t>
            </w:r>
          </w:p>
        </w:tc>
      </w:tr>
    </w:tbl>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模块一 机器学习与故障诊断   任务6.1《分类算法基础与工业应用》教学方案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1班：第六周星期二下午5-6节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某智能制造企业设备健康管理平台需对车间泵类设备进行故障智能诊断。作为工业互联网应用工程师，需要基于设备运行参数（转速、温度、压力、振动），构建机器学习分类模型，实现“无故障、轴承磨损、叶轮堵塞”三类状态的自动判别，为预测性维护提供决策依据。本次任务完成分类算法认知与首个诊断模型M1.1的开发。</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3.微观：学生首次接触机器学习，对“模型”“训练”等概念陌生，但已有Python基础可快速上手scikit-learn的API调用；对评估指标的业务含义理解存在困难。</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（1）监督学习与分类的基本概念；</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（2）逻辑回归、决策树、随机森林的直观原理与适用场景；</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（3）准确率、精确率、召回率、F1值四项评估指标的含义与解读。</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（1）精确率与召回率的权衡关系及漏报/误报在工业场景中的代价差异；</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（2）从“编写代码”到“应用模型”的思维方式转变。</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1.教学资料：企业脱敏泵类设备运行数据集、三个分类模型对比演示代码、模型调用五步模板、工单M1.1任务书与评价量表；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3.9+、scikit-learn、pandas、numpy、matplotlib，Jupyter Notebook环境；</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3.教学平台：课程在线平台（微课视频、数据集下载、工单提交）。</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六步法显性映射——课前：完成“资讯·计划”（线上导学单+预习自测，教师/师傅(A)/组长(B)发布工单微课、检查环境与数据可用性）；</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决策（10分钟，备选方案对比+决策矩阵打分，决策结论公示并与实施绑定）→第一轮实施35分钟（体验→应用）→检查复盘5分钟（自检—互检—师查三层质检）→第二轮实施30分钟（优化）→总结评价10分钟（量表评分，工单24小时内反馈评语）；A类学生示范讲解（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课后：C/D层完成补强任务，A/B层完成拓展创新任务；更新ABCD角色轮换与组内贡献记录。</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（1）类比教学：用“体检报告”类比精确率/召回率，用漏报误报损失数据强化业务理解；</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（2）对比演示：三个分类模型同台对比，直观呈现模型选择依据；</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（3）模板护航：提供“加载→划分→训练→预测→评估”五步代码模板，保证最低完成线。</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（1）用故障诊断漏报（漏掉真故障）与误报（误停机）的真实经济损失案例做对比讲解；</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（2）对D类学生提供填空式代码框架，分步完成；</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（3）设置“指标解读口述”环节，确保学生能说明白而非只会算。</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精讲演示分类建模流程（数据加载→划分→训练→预测→评估）；现场评判操作质量；引导A操作、B操作、C记录、D观摩。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A类学生完成模型对比实验并示范讲解；B类学生按五步模板完成M1.1核心建模；C类记录指标结果并尝试改参数；D类观摩学习并完成指标填表。</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会调用模型完成故障分类；能计算并解读四项评估指标。</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形成标准操作样例与关键注意点。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35min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任务检查：检查B/C/D学生工单进度；回顾第一轮关键流程及成果；监督/评判；巡回指导排错。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B类学生独立完成模型评估与指标解读；C/D类学生完成预测新样本任务；A类学生指导、B类学生辅助记录。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在真实项目节奏中完成M1.1工单产出并达标（准确率≥0.75）。</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10min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C/D类完成指标解读书面作业与基础练习；A/B类尝试对比多个分类器并优化特征（冲击M1.1优秀标准：准确率≥0.85）；整理学习笔记与代码归档。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从模型准确率、指标解读准确性、代码规范率、协作表现四个维度记录过程性数据；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抽样复核典型错误类型（数据划分不当、指标混淆、API参数误用），统计各层达标率与工单M1.1首次提交质量。</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针对共性问题建立“班级避坑清单”（如train_test_split未分层、指标张冠李戴）；</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对A/B角色进行轮岗与再培训；对C/D设置分层任务与激励，持续提升参与度与达标率；根据指标解读薄弱情况，下次课增加5分钟指标快问快答。</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本周更新ABCD角色轮换表与组内贡献记录（个人问责，防搭便车）。</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模块一 机器学习与故障诊断   任务7.1《特征工程与模型优化》教学方案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1班：第七周星期二下午5-6节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设备健康管理部门反馈：上周交付的M1.1故障诊断模型准确率仅78%，误报较多，希望在不更换算法的前提下进一步提升诊断精度、降低维护成本。作为工业互联网应用工程师，需要通过特征工程、数据处理与超参数调优，对模型进行系统优化，使准确率提升≥5%，并输出可复现的性能对比报告。本次任务完成工单项目M1.2。</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3.微观：学生已掌握分类建模基本流程与模型调用，但对数据预处理的作用缺乏直观感受，容易“套模板”而不知其所以然；部分学生对交叉验证概念模糊。</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（1）特征构建方法：差值、比值、统计量等派生特征；</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（2）归一化（Min-Max）与标准化（Z-score）的原理与选择；</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（3）交叉验证与网格搜索的基本流程。</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（1）针对具体工业数据选择合适的预处理组合，避免盲目堆砌技巧；</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（2）理解特征工程与模型性能提升之间的因果验证（消融实验思想）。</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1.教学资料：M1.1基线代码与数据集、特征工程检查清单、消融实验记录表、GridSearchCV示例、工单M1.2任务书与评价量表；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3.9+、scikit-learn、pandas、matplotlib，Jupyter Notebook环境；</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3.教学平台：课程在线平台（优秀作业展评、FAQ知识库）。</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六步法显性映射——课前：完成“资讯·计划”（线上导学单+预习自测，教师/师傅(A)/组长(B)发布工单微课、检查环境与数据可用性）；</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决策（10分钟，备选方案对比+决策矩阵打分，决策结论公示并与实施绑定）→第一轮实施35分钟（体验→应用）→检查复盘5分钟（自检—互检—师查三层质检）→第二轮实施30分钟（优化）→总结评价10分钟（量表评分，工单24小时内反馈评语）；A类学生示范讲解（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课后：C/D层完成补强任务，A/B层完成拓展创新任务；更新ABCD角色轮换与组内贡献记录。</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（1）清单驱动：“数据探索→缺失处理→特征构建→缩放→验证”检查清单引导按流程推进；</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（2）消融实验：逐步添加预处理环节并记录指标变化，改进效果可视化；</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（3）竞赛激励：“谁的模型更准”小组竞赛，同一测试集排名。</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（1）提供“一键基线”脚本，保证人人有70分起点，专注优化环节；</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（2）对D类学生设置最低完成线（完成归一化+一种特征构建即可）；</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（3）用“做饭”类比讲特征工程：食材（原始数据）→加工（特征）→火候（调参）。</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精讲演示特征构建与标准化流程；演示消融实验记录方法；现场评判操作质量；引导A操作、B操作、C记录、D观摩。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A类学生设计3个以上派生特征并验证贡献；B类学生完成特征构建+标准化实验；C类记录每步指标变化；D类观摩并完成归一化跟做练习。</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掌握特征工程标准流程；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形成消融实验记录样例与关键注意点。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35min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任务检查：检查B/C/D学生优化进度；回顾消融实验要点；监督/评判；巡回指导排错。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B类学生完成交叉验证与超参数调优；C/D类学生完成至少一种优化并对比指标；A类学生指导、B类学生辅助记录。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完成M1.2工单：准确率较基线提升≥5%（优秀≥10%且F1≥0.80）。</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10min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C/D类完成优化思路书面说明；A/B类尝试≥3种优化方法组合并冲击优秀标准；整理学习笔记与代码归档。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从准确率提升幅度、消融实验记录完整性、代码规范率、协作表现四个维度记录过程性数据；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统计M1.2工单首次达标率与优秀率，对比M1.1分析进步幅度；抽样复核“为改而改”的无效优化操作。</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针对“盲目调参”共性问题，补充“先假设后验证”实验规范训练；</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建立班级特征工程“有效招法清单”；对连续两次工单未达标学生启动一对一补强；对优秀作品推荐参加技能竞赛。</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本周更新ABCD角色轮换表与组内贡献记录（个人问责，防搭便车）。</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模块二 深度学习与工业预测   任务8.1《神经网络基础与CNN缺陷检测》教学方案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1班：第八周星期二下午5-6节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某汽车零部件制造企业的焊接工位需对焊缝质量进行自动判定。传统人工目检效率低、漏检率高。作为工业互联网应用工程师，需要基于卷积神经网络（CNN）构建焊接缺陷检测系统，对焊缝图像中的“无缺陷、气孔、夹渣、裂纹”四类状态进行自动识别。本次任务以预训练模型为起点，完成工单项目M2.1，体验深度学习的开发范式。</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3.微观：学生具备机器学习基础概念，但“神经网络”“卷积”为全新抽象概念；部分学生对张量（多维数组）维度变化理解困难；GPU环境首次使用需适应。</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（1）神经网络的层级结构与前向传播的直观理解；</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（2）卷积、池化操作与特征图的概念；</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（3）预训练模型的使用流程：加载→预处理→推理→评估。</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（1）卷积、池化等抽象概念的直观建立；</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（2）输入图像尺寸、通道与模型输入要求之间的对应关系。</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1.教学资料：焊接缺陷图像数据集（4类、已划分）、卷积过程动画与“手电筒扫照片”类比图解、预训练CNN模型文件、推理代码框架、工单M2.1任务书与评价量表；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3.9+、PyTorch/TensorFlow、torchvision、matplotlib，GPU环境（或Colab备选）；</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3.教学平台：课程在线平台（卷积动画微课、模型文件下载）。</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六步法显性映射——课前：完成“资讯·计划”（线上导学单+预习自测，教师/师傅(A)/组长(B)发布工单微课、检查环境与数据可用性）；</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决策（10分钟，备选方案对比+决策矩阵打分，决策结论公示并与实施绑定）→第一轮实施35分钟（体验→应用）→检查复盘5分钟（自检—互检—师查三层质检）→第二轮实施30分钟（优化）→总结评价10分钟（量表评分，工单24小时内反馈评语）；A类学生示范讲解（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课后：C/D层完成补强任务，A/B层完成拓展创新任务；更新ABCD角色轮换与组内贡献记录。</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（1）动画+类比：卷积核滑动的动画演示与生活类比降低抽象度；</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（2）框架封装：提供封装好的推理框架，聚焦“换数据、看结果、读指标”三步；</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（3）可视化支撑：特征图可视化脚本帮助建立“模型看到什么”的直觉。</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（1）对张量维度变化设置专门的形状打印实验（shape追踪法）；</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（2）D类学生使用图形化界面工具上传图片完成检测即达基础线；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（3）A类学生通过特征图可视化任务深化理解，再由其向全班讲解（费曼法）。</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精讲演示CNN推理全流程（加载模型→图像预处理→推理→结果解读）；演示特征图可视化；现场评判操作质量；引导A操作、B操作、C记录、D观摩。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A类学生完成特征图可视化并准备讲解；B类学生完成焊接图像四分类推理与评估；C类记录预测结果与置信度；D类观摩并完成单张图片检测跟做。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会使用预训练CNN完成缺陷检测；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形成标准推理流程样例与关键注意点。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35min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任务检查：检查B/C/D学生推理结果；回顾预处理尺寸/归一化要点；监督/评判；巡回指导排错。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B类学生完成测试集批量评估（准确率≥0.80）；C/D类学生完成自选图片检测并记录结果；A类学生指导、B类学生辅助记录。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完成M2.1工单并达标；能上传测试图片并得到正确预测结果。</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10min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C/D类完成检测结果记录单；A/B类尝试数据增强或特征图可视化（冲击准确率≥0.88优秀标准）；整理学习笔记与代码归档。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从推理流程正确性、检测准确率、代码规范率、协作表现四个维度记录过程性数据；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统计常见报错类型（图片尺寸不符、通道顺序错误、归一化遗漏），评估抽象概念掌握情况。</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针对图片预处理类错误建立“预处理三查”清单（尺寸、通道、归一化）；</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对卷积概念仍模糊的学生推送补充微课并安排课后答疑；收集学生类比理解的最佳表述充实教学案例库。</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本周更新ABCD角色轮换表与组内贡献记录（个人问责，防搭便车）。</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模块二 深度学习与工业预测   任务9.1《LSTM时间序列预测与轴承寿命预测》教学方案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1班：第九周星期二下午5-6节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关键设备——大型风机的滚动轴承需实现预测性维护。轴承从健康到失效的振动信号蕴含退化规律。作为工业互联网应用工程师，需要基于LSTM循环神经网络构建轴承剩余使用寿命（RUL）预测模型，提前规划维护计划，避免非计划停机损失。本次任务完成工单项目M2.2，并开展课程中期诊断。</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3.微观：学生已理解CNN空间特征提取，但时序依赖“记忆”概念全新；滑动窗口样本构建是主要障碍；本周为学期第9周，需同步完成中期学习诊断与补强启动。</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（1）时间序列数据特性与滑动窗口样本构建方法；</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（2）LSTM模型的构建、训练与验证流程；</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（3）MSE、RMSE、MAE预测误差指标的计算与业务解读。</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（1）从表格数据到时序数据的样本组织方式转变；</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（2）训练输入与预测目标（RUL标签）对应关系的理解。</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1.教学资料：轴承全寿命数据集（NASA/西门子脱敏版）、滑动窗口可视化脚本、LSTM基线代码、ARIMA对比示例、工单M2.2任务书与评价量表、中期诊断问卷；</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3.9+、PyTorch/TensorFlow、numpy、matplotlib；</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3.教学平台：课程在线平台（时序预测微课、中期学习数据看板）。</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六步法显性映射——课前：完成“资讯·计划”（线上导学单+预习自测，教师/师傅(A)/组长(B)发布工单微课、检查环境与数据可用性）；</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决策（10分钟，备选方案对比+决策矩阵打分，决策结论公示并与实施绑定）→第一轮实施35分钟（体验→应用）→检查复盘5分钟（自检—互检—师查三层质检）→第二轮实施30分钟（优化）→总结评价10分钟（量表评分，工单24小时内反馈评语）；A类学生示范讲解（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课后：C/D层完成补强任务，A/B层完成拓展创新任务；更新ABCD角色轮换与组内贡献记录。</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（1）生活案例迁移：“看前7天温度预测第8天”引入滑动窗口，再迁移到轴承退化数据；</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（2）可视化窗口：提供窗口化可视化脚本，让每个样本的输入与标签“看得见”；</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（3）双轨任务：基础轨完成单模型预测，进阶轨完成LSTM与ARIMA对比。</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（1）提供“窗口生成器”函数，学生先学会调用再理解实现；</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（2）D类学生将窗口大小、特征数量两个参数调通即达基础线；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（3）结合中期诊断结果，为困难学生调整任务粒度并推送补强资料。</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精讲演示滑动窗口构建与LSTM训练流程；演示预测曲线可视化；现场评判操作质量；引导A操作、B操作、C记录、D观摩。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A类学生完成窗口化实验并讲解输入-标签对应关系；B类学生完成LSTM模型训练；C类记录训练损失变化；D类观摩并完成窗口参数跟做。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掌握时序样本构建与LSTM训练流程；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形成预测曲线图样例与关键注意点。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35min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任务检查：检查B/C/D学生训练进度；回顾误差指标含义；监督/评判；巡回指导排错；同步开展中期诊断访谈。</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B类学生完成预测评估（MSE&lt;0.15）与可视化；C/D类学生完成预测曲线绘制并解读；A类学生指导、B类学生辅助记录。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完成M2.2工单并达标；能解读预测误差对维护计划的业务意义。</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10min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C/D类完成误差指标解读作业；A/B类完成LSTM与ARIMA对比（冲击MSE&lt;0.10优秀标准）；整理学习笔记与代码归档。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从预测误差、可视化完整性、业务解读质量、协作表现四个维度记录过程性数据；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开展中期诊断：统计前4次工单成绩分布，识别困难学生，评估教学进度适配度。</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针对窗口化错误建立“窗口三问”自查法（输入多长、标签何在、有无重叠）；</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启动困难学生补强计划（学习伙伴+分步工单）；对进度偏慢内容压缩演示时间、增加实操时长。</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本周更新ABCD角色轮换表与组内贡献记录（个人问责，防搭便车）。</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模块三 计算机视觉与缺陷检测   任务10.1《图像处理与缺陷尺寸测量》教学方案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1班：第十周星期二下午5-6节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精密结构件产线需要对产品表面划痕、凹坑等缺陷进行尺寸测量（长度、面积），以判定是否超出质量允差。传统卡尺抽检效率低且无法全检。作为工业互联网应用工程师，需要基于OpenCV构建产品表面缺陷尺寸测量系统，实现“图像采集→预处理→阈值分割→轮廓检测→尺寸计算→结果标注”的自动化测量流程。本次任务完成工单项目M3.1。</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3.微观：学生已接触CNN图像分类，但传统图像处理（滤波、分割、轮廓）为首次系统学习；对像素与物理尺寸的换算（像素当量标定）理解有难度；OpenCV API较生疏。</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（1）图像预处理链条：灰度化、滤波去噪、阈值分割；</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（2）轮廓检测与缺陷区域提取方法；</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（3）像素当量标定与缺陷物理尺寸（长度、面积）换算。</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（1）阈值参数对分割结果的影响与调参策略；</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（2）从轮廓像素面积到物理尺寸的换算理解。</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1.教学资料：产品表面缺陷图像库、像素当量标定演示（含已知尺寸参照物）、“同一图片不同阈值”对比实验包、OpenCV速查手册、工单M3.1任务书与评价量表；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3.9+、opencv-python、numpy、matplotlib；</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3.教学平台：课程在线平台（图像处理微课、图像库下载）。</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六步法显性映射——课前：完成“资讯·计划”（线上导学单+预习自测，教师/师傅(A)/组长(B)发布工单微课、检查环境与数据可用性）；</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决策（10分钟，备选方案对比+决策矩阵打分，决策结论公示并与实施绑定）→第一轮实施35分钟（体验→应用）→检查复盘5分钟（自检—互检—师查三层质检）→第二轮实施30分钟（优化）→总结评价10分钟（量表评分，工单24小时内反馈评语）；A类学生示范讲解（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课后：C/D层完成补强任务，A/B层完成拓展创新任务；更新ABCD角色轮换与组内贡献记录。</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（1）对比实验法：“同一图片不同阈值”直观掌握参数敏感性；</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（2）标定演示：已知尺寸参照物的像素当量标定，把物理换算讲透；</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（3）分层任务：C/D层完成单缺陷检测测量，A/B层完成多类型缺陷与误差分析。</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（1）提供标定计算模板（一步代入即可）；</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（2）D类学生使用固定阈值完成单图测量即达基础线；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（3）用“地图比例尺”类比像素当量，降低换算理解门槛。</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精讲演示图像处理全链条（读图→灰度→滤波→分割→轮廓→测量→标注）；演示像素当量标定；现场评判操作质量；引导A操作、B操作、C记录、D观摩。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A类学生完成多类型缺陷检测并分析误差来源；B类学生完成单缺陷检测与尺寸测量；C类记录不同滤波参数效果；D类观摩并完成固定阈值跟做。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掌握OpenCV测量流程；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形成标注样例图与关键注意点。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35min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任务检查：检查B/C/D学生测量结果；回顾标定换算要点；监督/评判；巡回指导排错。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B类学生完成尺寸测量（误差&lt;10%）与结果标注；C/D类学生完成缺陷区域标注与简单测量；A类学生指导、B类学生辅助记录。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完成M3.1工单并达标；测量误差&lt;10%（优秀&lt;5%）。</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10min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C/D类完成处理效果对比记录；A/B类完成多类型缺陷检测与美观标注（冲击优秀标准）；整理学习笔记与代码归档。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从测量误差、标注规范性、代码规范率、协作表现四个维度记录过程性数据；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统计典型错误（阈值不当导致过分割/欠分割、标定错误导致系统性偏差），评估换算掌握情况。</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针对分割不稳问题建立“预处理参数试验记录表”规范；</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将优秀标注作品纳入课程案例库；对换算理解薄弱学生安排课后一对一过关。</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本周更新ABCD角色轮换表与组内贡献记录（个人问责，防搭便车）。</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模块三 计算机视觉与缺陷检测   任务11.1《YOLO实时检测与智能质检系统》教学方案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1班：第十一周星期二下午5-6节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电子产品装配产线节拍为3秒/件，人工目检无法满足全检要求。管理层希望部署实时视觉质检系统，在产线节拍内完成≥3类缺陷的自动检测与剔除决策。作为工业互联网应用工程师，需要基于YOLOv8构建产线实时缺陷检测系统，兼顾检测精度（mAP）与推理速度（FPS）。本次任务完成工单项目M3.2。</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3.微观：学生已掌握传统图像处理，理解“检测”与“分类”的区别是本课起点；对模型训练过程（数据标注、训练监控）首次实操；FPS概念易与mAP混淆。</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（1）YOLO算法核心思想与检测输出（边界框、置信度、类别）解读；</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（2）预训练模型调用与数据集标注、微调流程；</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（3）mAP与FPS两项核心指标的含义与检测阈值选择。</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（1）检测阈值的工程选择（过松漏检、过严误检）；</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（2）精度与速度的权衡调优思路。</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1.教学资料：已标注缺陷数据集（电子产品/包装≥3类）、YOLOv8n离线预训练权重包、YOLOv8速查手册、摄像头实时检测演示程序、FPS统计脚本、CPU环境验证清单、工单M3.2任务书与评价量表；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2.设备环境：双创中心302实训室（CPU机房即可），Python 3.9+、ultralytics（YOLOv8，离线安装包）、opencv-python、USB摄像头（可选）；模型微调由教师GPU端演示回放；</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3.教学平台：课程在线平台（YOLO微课、数据集下载、训练日志示例）。</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六步法显性映射——课前：完成“资讯·计划”（线上导学单+预习自测，教师/师傅(A)/组长(B)发布工单微课、检查环境与数据可用性）；</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决策（10分钟，备选方案对比+决策矩阵打分，决策结论公示并与实施绑定）→第一轮实施35分钟（体验→应用）→检查复盘5分钟（自检—互检—师查三层质检）→第二轮实施30分钟（优化）→总结评价10分钟（量表评分，工单24小时内反馈评语）；A类学生示范讲解（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课后：C/D层完成补强任务，A/B层完成拓展创新任务；更新ABCD角色轮换与组内贡献记录。</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（1）实时演示开场：摄像头实时检测课堂物品，建立“实时”直观感受；</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（2）全流程体验：提供已标注数据集，体验“训练→评估→推理”全流程而无需从零标注；</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（3）竞赛驱动：相同精度下比FPS的优化小竞赛，强化工程权衡意识。</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（1）提供预训练权重，D类学生直接推理即达基础线（mAP≥0.70）；</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（2）用“安检门灵敏度”类比检测阈值的选择；</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（3）训练环节提供失败案例（数据量不足、类别不均衡）供分析，避免盲目训练。</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精讲演示YOLO推理与输出解读；演示数据标注与微调启动；现场评判操作质量；引导A操作、B操作、C记录、D观摩。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A类学生完成阈值—性能权衡实验并解读mAP曲线；B类学生完成CPU实时推理与置信度阈值调优；C类记录不同阈值下的检测对比；D类观摩并完成预训练模型推理跟做。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会调用YOLO完成实时检测；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形成推理演示样例与关键注意点。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35min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任务检查：检查B/C/D学生检测效果；回顾精度—速度权衡要点；监督/评判；巡回指导排错。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B类学生完成性能优化（基于预训练模型评估mAP≥0.70，力争FPS≥20）；C/D类学生完成可视化检测结果输出；A类学生指导、B类学生辅助记录。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完成M3.2工单并达标；理解质检系统完整架构。</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10min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C/D类完成检测记录单；A/B类冲击优秀标准（mAP≥0.80、FPS≥20、可视化完善）；整理学习笔记与代码归档。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从mAP/FPS指标、检测可视化质量、代码规范率、协作表现四个维度记录过程性数据；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统计训练环节典型问题（标注质量差、输入尺寸不当），评估学生对工程权衡的理解深度。</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针对阈值乱调问题建立“阈值试验记录规范”；</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组织优秀系统现场连线产线模拟环境演示；对训练失败小组复盘数据与配置问题，沉淀“训练排错手册”。</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本周更新ABCD角色轮换表与组内贡献记录（个人问责，防搭便车）。</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模块四 NLP与大模型应用   任务12.1《文本处理与工业故障报告自动分类》教学方案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1班：第十二周星期二下午5-6节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设备运维部门每月产生数百条设备故障说明文本，依赖人工归类到传动系统、冷却系统、电气系统等专业条线，时效低且口径不一。作为工业互联网应用工程师，需要基于jieba分词与TF-IDF+分类器构建工业故障报告自动分类系统，实现≥5类故障文本的自动派单。本次任务完成工单项目M4.1。</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3.微观：学生具备图像与结构化数据的建模经验，但“文本→向量”的抽象转换是全新挑战；中文分词有生活直觉可借力；类别不均衡处理需引导。</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（1）分词（jieba）与去停用词的作用与操作；</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（2）词袋模型与TF-IDF向量化原理；</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（3）文本分类模型训练与准确率评估流程。</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（1）从“文字”到“向量”的抽象转换理解；</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（2）类别不均衡故障语料对分类效果的影响及应对。</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1.教学资料：清洗好的工业故障语料库（≥200条、5类）、jieba/TF-IDF示例代码、关键词贡献可视化脚本、工单M4.1任务书与评价量表；</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3.9+、jieba、scikit-learn、pandas、matplotlib；</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3.教学平台：课程在线平台（NLP微课、语料库下载）。</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六步法显性映射——课前：完成“资讯·计划”（线上导学单+预习自测，教师/师傅(A)/组长(B)发布工单微课、检查环境与数据可用性）；</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决策（10分钟，备选方案对比+决策矩阵打分，决策结论公示并与实施绑定）→第一轮实施35分钟（体验→应用）→检查复盘5分钟（自检—互检—师查三层质检）→第二轮实施30分钟（优化）→总结评价10分钟（量表评分，工单24小时内反馈评语）；A类学生示范讲解（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课后：C/D层完成补强任务，A/B层完成拓展创新任务；更新ABCD角色轮换与组内贡献记录。</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（1）类比教学：“菜谱配料表”类比词袋模型、“关键词稀有度”讲TF-IDF权重；</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（2）语料就绪：提供清洗好的语料库，学生聚焦建模而非数据清洗；</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（3）对比实验：对比朴素贝叶斯与逻辑回归在文本上的表现差异。</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（1）提供分词结果可视化，让“文本变数字”的过程看得见；</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（2）D类学生完成“分词+词云”即达基础线，再进阶分类；</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（3）结合学生收集的真实故障描述扩充语料，增强任务真实感。</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精讲演示文本分类全流程（分词→去停用词→TF-IDF→训练→评估）；演示关键词贡献可视化；现场评判操作质量；引导A操作、B操作、C记录、D观摩。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A类学生完成多分类器对比并解释关键词贡献；B类学生完成五分类模型训练（准确率≥0.75）；C类记录分词效果与新词处理；D类观摩并完成分词跟做。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掌握文本分类标准流程；</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形成关键词贡献分析样例与关键注意点。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35min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任务检查：检查B/C/D学生分类结果；回顾向量化要点；监督/评判；巡回指导排错。</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B类学生完成新故障文本的自动分类测试；C/D类学生完成分类结果解读；A类学生指导、B类学生辅助记录。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完成M4.1工单并达标（准确率≥0.75，优秀≥0.85）。</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10min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C/D类完成分类结果解读作业；A/B类完成关键词贡献解释与可视化（冲击优秀标准）；整理学习笔记与代码归档。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从分类准确率、结果解读质量、代码规范率、协作表现四个维度记录过程性数据；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统计典型错误（停用词表缺失、类别混淆矩阵误读），评估向量化概念掌握情况。</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针对混淆矩阵解读薄弱问题，下次课增加3分钟矩阵快读训练；</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将学生扩充的语料整理为班级语料库v2；对文本理解困难学生推送分词可视化补充练习。</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本周更新ABCD角色轮换表与组内贡献记录（个人问责，防搭便车）。</w:t>
            </w:r>
          </w:p>
        </w:tc>
      </w:tr>
    </w:tbl>
    <w:p w14:paraId="3D5B34EB">
      <w:pPr>
        <w:widowControl/>
        <w:jc w:val="left"/>
        <w:rPr>
          <w:rFonts w:hint="eastAsia"/>
        </w:rPr>
      </w:pPr>
    </w:p>
    <w:p w14:paraId="71B23CDC">
      <w:pPr>
        <w:widowControl/>
        <w:jc w:val="left"/>
        <w:rPr>
          <w:rFonts w:hint="eastAsia" w:ascii="黑体" w:hAnsi="黑体" w:eastAsia="黑体" w:cs="Times New Roman"/>
          <w:sz w:val="28"/>
        </w:rPr>
      </w:pPr>
      <w:r>
        <w:rPr>
          <w:rFonts w:ascii="黑体" w:hAnsi="黑体" w:eastAsia="黑体" w:cs="Times New Roman"/>
          <w:sz w:val="28"/>
        </w:rPr>
        <w:br w:type="page"/>
      </w:r>
    </w:p>
    <w:p w14:paraId="048D977A">
      <w:pPr>
        <w:jc w:val="center"/>
        <w:rPr>
          <w:rFonts w:hint="eastAsia" w:ascii="黑体" w:hAnsi="黑体" w:eastAsia="黑体" w:cs="Times New Roman"/>
          <w:sz w:val="28"/>
        </w:rPr>
      </w:pPr>
      <w:bookmarkStart w:id="1" w:name="OLE_LINK3"/>
      <w:r>
        <w:rPr>
          <w:rFonts w:hint="eastAsia" w:ascii="黑体" w:hAnsi="黑体" w:eastAsia="黑体" w:cs="Times New Roman"/>
          <w:color w:val="000000"/>
          <w:sz w:val="28"/>
        </w:rPr>
        <w:t xml:space="preserve">模块四 NLP与大模型应用   任务13.1《大模型应用与智能体系统构建》教学方案</w:t>
      </w:r>
    </w:p>
    <w:tbl>
      <w:tblPr>
        <w:tblStyle w:val="19"/>
        <w:tblW w:w="501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ayout w:type="autofit"/>
        <w:tblCellMar>
          <w:top w:w="0" w:type="dxa"/>
          <w:left w:w="108" w:type="dxa"/>
          <w:bottom w:w="0" w:type="dxa"/>
          <w:right w:w="108" w:type="dxa"/>
        </w:tblCellMar>
      </w:tblPr>
      <w:tblGrid>
        <w:gridCol w:w="1119"/>
        <w:gridCol w:w="516"/>
        <w:gridCol w:w="2821"/>
        <w:gridCol w:w="1298"/>
        <w:gridCol w:w="1005"/>
        <w:gridCol w:w="1328"/>
        <w:gridCol w:w="2456"/>
        <w:gridCol w:w="1242"/>
        <w:gridCol w:w="1591"/>
        <w:gridCol w:w="1440"/>
      </w:tblGrid>
      <w:tr w14:paraId="50B4800B">
        <w:trPr>
          <w:trHeight w:val="64" w:hRule="atLeast"/>
        </w:trPr>
        <w:tc>
          <w:tcPr>
            <w:tcW w:w="5000" w:type="pct"/>
            <w:gridSpan w:val="10"/>
            <w:shd w:val="clear" w:color="auto" w:fill="9CC2E5"/>
            <w:vAlign w:val="center"/>
          </w:tcPr>
          <w:p w14:paraId="46F8C543">
            <w:pPr>
              <w:spacing w:line="320" w:lineRule="exact"/>
              <w:rPr>
                <w:rFonts w:ascii="Times New Roman" w:hAnsi="Times New Roman" w:eastAsia="等线" w:cs="Times New Roman"/>
                <w:b/>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一、</w:t>
            </w:r>
            <w:r>
              <w:rPr>
                <w:rFonts w:hint="eastAsia" w:ascii="Times New Roman" w:hAnsi="Times New Roman" w:eastAsia="黑体" w:cs="Times New Roman"/>
                <w:bCs/>
                <w:color w:val="000000" w:themeColor="text1"/>
                <w:kern w:val="0"/>
                <w:sz w:val="24"/>
                <w:szCs w:val="20"/>
                <w14:textFill>
                  <w14:solidFill>
                    <w14:schemeClr w14:val="tx1"/>
                  </w14:solidFill>
                </w14:textFill>
              </w:rPr>
              <w:t>任务</w:t>
            </w:r>
            <w:r>
              <w:rPr>
                <w:rFonts w:ascii="Times New Roman" w:hAnsi="Times New Roman" w:eastAsia="黑体" w:cs="Times New Roman"/>
                <w:bCs/>
                <w:color w:val="000000" w:themeColor="text1"/>
                <w:kern w:val="0"/>
                <w:sz w:val="24"/>
                <w:szCs w:val="20"/>
                <w14:textFill>
                  <w14:solidFill>
                    <w14:schemeClr w14:val="tx1"/>
                  </w14:solidFill>
                </w14:textFill>
              </w:rPr>
              <w:t>分析</w:t>
            </w:r>
          </w:p>
        </w:tc>
      </w:tr>
      <w:tr w14:paraId="649B9BAB">
        <w:trPr>
          <w:trHeight w:val="90" w:hRule="atLeast"/>
        </w:trPr>
        <w:tc>
          <w:tcPr>
            <w:tcW w:w="552" w:type="pct"/>
            <w:gridSpan w:val="2"/>
            <w:vAlign w:val="center"/>
          </w:tcPr>
          <w:p w14:paraId="6CA777C1">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形式</w:t>
            </w:r>
          </w:p>
        </w:tc>
        <w:tc>
          <w:tcPr>
            <w:tcW w:w="952" w:type="pct"/>
            <w:vAlign w:val="center"/>
          </w:tcPr>
          <w:p w14:paraId="6FAA1E06">
            <w:pPr>
              <w:spacing w:line="320" w:lineRule="exact"/>
              <w:jc w:val="center"/>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rPr>
              <w:t xml:space="preserve">理实一体</w:t>
            </w:r>
          </w:p>
        </w:tc>
        <w:tc>
          <w:tcPr>
            <w:tcW w:w="438" w:type="pct"/>
            <w:vAlign w:val="center"/>
          </w:tcPr>
          <w:p w14:paraId="6C4EBE9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课时</w:t>
            </w:r>
          </w:p>
        </w:tc>
        <w:tc>
          <w:tcPr>
            <w:tcW w:w="339" w:type="pct"/>
            <w:vAlign w:val="center"/>
          </w:tcPr>
          <w:p w14:paraId="23F2B525">
            <w:pPr>
              <w:spacing w:line="320" w:lineRule="exact"/>
              <w:jc w:val="center"/>
              <w:rPr>
                <w:rFonts w:hint="eastAsia" w:ascii="Times New Roman" w:hAnsi="Times New Roman" w:eastAsia="仿宋" w:cs="Times New Roman"/>
                <w:kern w:val="0"/>
                <w:sz w:val="20"/>
                <w:szCs w:val="20"/>
                <w:lang w:eastAsia="zh-CN"/>
              </w:rPr>
            </w:pPr>
            <w:r>
              <w:rPr>
                <w:rFonts w:hint="eastAsia" w:ascii="Times New Roman" w:hAnsi="Times New Roman" w:eastAsia="仿宋" w:cs="Times New Roman"/>
                <w:kern w:val="0"/>
                <w:sz w:val="20"/>
                <w:szCs w:val="20"/>
                <w:lang w:val="en-US" w:eastAsia="zh-CN"/>
              </w:rPr>
              <w:t xml:space="preserve">2</w:t>
            </w:r>
          </w:p>
        </w:tc>
        <w:tc>
          <w:tcPr>
            <w:tcW w:w="448" w:type="pct"/>
            <w:vAlign w:val="center"/>
          </w:tcPr>
          <w:p w14:paraId="311C23E2">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地点</w:t>
            </w:r>
          </w:p>
        </w:tc>
        <w:tc>
          <w:tcPr>
            <w:tcW w:w="828" w:type="pct"/>
            <w:vAlign w:val="center"/>
          </w:tcPr>
          <w:p w14:paraId="1F996DF8">
            <w:pPr>
              <w:spacing w:line="320" w:lineRule="exact"/>
              <w:rPr>
                <w:rFonts w:hint="default"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rPr>
              <w:t>双创中心302实训室</w:t>
            </w:r>
          </w:p>
        </w:tc>
        <w:tc>
          <w:tcPr>
            <w:tcW w:w="419" w:type="pct"/>
            <w:vAlign w:val="center"/>
          </w:tcPr>
          <w:p w14:paraId="5C1C86E7">
            <w:pPr>
              <w:spacing w:line="320" w:lineRule="exact"/>
              <w:jc w:val="center"/>
              <w:rPr>
                <w:rFonts w:ascii="Times New Roman" w:hAnsi="Times New Roman" w:eastAsia="微软雅黑" w:cs="Times New Roman"/>
                <w:kern w:val="0"/>
                <w:sz w:val="20"/>
                <w:szCs w:val="20"/>
              </w:rPr>
            </w:pPr>
            <w:r>
              <w:rPr>
                <w:rFonts w:ascii="Times New Roman" w:hAnsi="Times New Roman" w:eastAsia="黑体" w:cs="Times New Roman"/>
                <w:bCs/>
                <w:color w:val="000000" w:themeColor="text1"/>
                <w:kern w:val="0"/>
                <w:sz w:val="24"/>
                <w:szCs w:val="20"/>
                <w14:textFill>
                  <w14:solidFill>
                    <w14:schemeClr w14:val="tx1"/>
                  </w14:solidFill>
                </w14:textFill>
              </w:rPr>
              <w:t>时间</w:t>
            </w:r>
          </w:p>
        </w:tc>
        <w:tc>
          <w:tcPr>
            <w:tcW w:w="1021" w:type="pct"/>
            <w:gridSpan w:val="2"/>
            <w:vAlign w:val="center"/>
          </w:tcPr>
          <w:p w14:paraId="4D703484">
            <w:pPr>
              <w:snapToGrid w:val="0"/>
              <w:spacing w:line="320" w:lineRule="exact"/>
              <w:rPr>
                <w:rFonts w:ascii="Times New Roman" w:hAnsi="Times New Roman" w:eastAsia="方正仿宋_GBK" w:cs="Times New Roman"/>
                <w:kern w:val="0"/>
                <w:szCs w:val="21"/>
              </w:rPr>
            </w:pPr>
            <w:r>
              <w:rPr>
                <w:rFonts w:hint="eastAsia" w:ascii="Times New Roman" w:hAnsi="Times New Roman" w:eastAsia="方正仿宋_GBK" w:cs="Times New Roman"/>
                <w:kern w:val="0"/>
                <w:szCs w:val="21"/>
              </w:rPr>
              <w:t xml:space="preserve">1班：第十三周星期二下午5-6节</w:t>
            </w:r>
          </w:p>
        </w:tc>
      </w:tr>
      <w:tr w14:paraId="1F5D099B">
        <w:trPr>
          <w:trHeight w:val="404" w:hRule="atLeast"/>
        </w:trPr>
        <w:tc>
          <w:tcPr>
            <w:tcW w:w="552" w:type="pct"/>
            <w:gridSpan w:val="2"/>
            <w:vAlign w:val="center"/>
          </w:tcPr>
          <w:p w14:paraId="40AFE8A8">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描述</w:t>
            </w:r>
          </w:p>
        </w:tc>
        <w:tc>
          <w:tcPr>
            <w:tcW w:w="4447" w:type="pct"/>
            <w:gridSpan w:val="8"/>
            <w:vAlign w:val="center"/>
          </w:tcPr>
          <w:p w14:paraId="39E23218">
            <w:pPr>
              <w:spacing w:line="320" w:lineRule="exact"/>
              <w:rPr>
                <w:rFonts w:hint="eastAsia" w:ascii="Times New Roman" w:hAnsi="Times New Roman" w:eastAsia="方正仿宋_GBK" w:cs="Times New Roman"/>
                <w:kern w:val="0"/>
                <w:szCs w:val="21"/>
                <w:lang w:val="en-US" w:eastAsia="zh-CN"/>
              </w:rPr>
            </w:pPr>
            <w:r>
              <w:rPr>
                <w:rFonts w:hint="eastAsia" w:ascii="Times New Roman" w:hAnsi="Times New Roman" w:eastAsia="方正仿宋_GBK" w:cs="Times New Roman"/>
                <w:kern w:val="0"/>
                <w:szCs w:val="21"/>
                <w:lang w:val="en-US" w:eastAsia="zh-CN"/>
              </w:rPr>
              <w:t xml:space="preserve">企业设备运维知识（规范文档、故障排查指南）分散在各类手册中，新员工检索困难。管理层希望构建“工业智能决策助手”：接入大语言模型（LLM）与企业知识库，实现“设备报警XX怎么处理”“如何优化参数Y”等问题的智能问答与决策支持。作为工业互联网应用工程师，需要完成Prompt优化、RAG系统搭建与Agent多步推理设计。本次任务完成结业工单M4.2并部署综合项目。</w:t>
            </w:r>
          </w:p>
        </w:tc>
      </w:tr>
      <w:tr w14:paraId="165B9E23">
        <w:trPr>
          <w:trHeight w:val="64" w:hRule="atLeast"/>
        </w:trPr>
        <w:tc>
          <w:tcPr>
            <w:tcW w:w="552" w:type="pct"/>
            <w:gridSpan w:val="2"/>
            <w:vAlign w:val="center"/>
          </w:tcPr>
          <w:p w14:paraId="6AE71DE0">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hint="eastAsia" w:ascii="Times New Roman" w:hAnsi="Times New Roman" w:eastAsia="黑体" w:cs="Times New Roman"/>
                <w:bCs/>
                <w:color w:val="000000" w:themeColor="text1"/>
                <w:kern w:val="0"/>
                <w:sz w:val="24"/>
                <w:szCs w:val="20"/>
                <w14:textFill>
                  <w14:solidFill>
                    <w14:schemeClr w14:val="tx1"/>
                  </w14:solidFill>
                </w14:textFill>
              </w:rPr>
              <w:t>学情</w:t>
            </w:r>
          </w:p>
        </w:tc>
        <w:tc>
          <w:tcPr>
            <w:tcW w:w="4447" w:type="pct"/>
            <w:gridSpan w:val="8"/>
            <w:vAlign w:val="center"/>
          </w:tcPr>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1.宏观：意愿好能力强A（师傅）占比20%、意愿好能力弱B（组长）占比25%、意愿一般C（操作员）占比40%、无意愿D（学徒）占比15%；</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2.中观：已完成《Python编程基础》前5周学习，掌握Python基本语法、函数、类定义、继承、异常处理与文件操作，具备OOP编程基础，但未接触过机器学习框架与AI模型；</w:t>
            </w:r>
          </w:p>
          <w:p w14:paraId="3970D8C3">
            <w:pPr>
              <w:spacing w:line="320" w:lineRule="exac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3.微观：学生普遍使用过ChatGPT类工具，有操作直觉但缺乏工程化认知（Prompt结构化、RAG架构、Agent设计）；企业数据合规意识需强化；本周为课程收官，需兼顾综合项目布置。</w:t>
            </w:r>
          </w:p>
        </w:tc>
      </w:tr>
      <w:tr w14:paraId="50815815">
        <w:trPr>
          <w:trHeight w:val="64" w:hRule="atLeast"/>
        </w:trPr>
        <w:tc>
          <w:tcPr>
            <w:tcW w:w="552" w:type="pct"/>
            <w:gridSpan w:val="2"/>
            <w:vAlign w:val="center"/>
          </w:tcPr>
          <w:p w14:paraId="24F09509">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重点</w:t>
            </w:r>
          </w:p>
        </w:tc>
        <w:tc>
          <w:tcPr>
            <w:tcW w:w="4447" w:type="pct"/>
            <w:gridSpan w:val="8"/>
            <w:vAlign w:val="center"/>
          </w:tcPr>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（1）Prompt工程优化技巧：角色设定、上下文、示例引导；</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（2）RAG系统“检索+生成”架构与最小实现；</w:t>
            </w:r>
          </w:p>
          <w:p w14:paraId="3C923829">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（3）Agent类、Tool类、KnowledgeBase类的OOP设计与多步推理链。</w:t>
            </w:r>
          </w:p>
        </w:tc>
      </w:tr>
      <w:tr w14:paraId="7CC870EB">
        <w:trPr>
          <w:trHeight w:val="64" w:hRule="atLeast"/>
        </w:trPr>
        <w:tc>
          <w:tcPr>
            <w:tcW w:w="552" w:type="pct"/>
            <w:gridSpan w:val="2"/>
            <w:vAlign w:val="center"/>
          </w:tcPr>
          <w:p w14:paraId="0D1CF9A5">
            <w:pPr>
              <w:spacing w:line="320" w:lineRule="exact"/>
              <w:jc w:val="center"/>
              <w:rPr>
                <w:rFonts w:ascii="Times New Roman" w:hAnsi="Times New Roman" w:eastAsia="黑体" w:cs="Times New Roman"/>
                <w:bCs/>
                <w:color w:val="000000" w:themeColor="text1"/>
                <w:kern w:val="0"/>
                <w:sz w:val="24"/>
                <w:szCs w:val="20"/>
                <w14:textFill>
                  <w14:solidFill>
                    <w14:schemeClr w14:val="tx1"/>
                  </w14:solidFill>
                </w14:textFill>
              </w:rPr>
            </w:pPr>
            <w:r>
              <w:rPr>
                <w:rFonts w:ascii="Times New Roman" w:hAnsi="Times New Roman" w:eastAsia="黑体" w:cs="Times New Roman"/>
                <w:bCs/>
                <w:color w:val="000000" w:themeColor="text1"/>
                <w:kern w:val="0"/>
                <w:sz w:val="24"/>
                <w:szCs w:val="20"/>
                <w14:textFill>
                  <w14:solidFill>
                    <w14:schemeClr w14:val="tx1"/>
                  </w14:solidFill>
                </w14:textFill>
              </w:rPr>
              <w:t>难点</w:t>
            </w:r>
          </w:p>
        </w:tc>
        <w:tc>
          <w:tcPr>
            <w:tcW w:w="4447" w:type="pct"/>
            <w:gridSpan w:val="8"/>
            <w:vAlign w:val="center"/>
          </w:tcPr>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（1）知识库切分与检索质量对RAG效果的影响；</w:t>
            </w:r>
          </w:p>
          <w:p w14:paraId="2BA1E484">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（2）LLM输出不稳定时的工程化容错（重试、校验、降级）。</w:t>
            </w:r>
          </w:p>
        </w:tc>
      </w:tr>
      <w:tr w14:paraId="27C40572">
        <w:trPr>
          <w:trHeight w:val="64" w:hRule="atLeast"/>
        </w:trPr>
        <w:tc>
          <w:tcPr>
            <w:tcW w:w="5000" w:type="pct"/>
            <w:gridSpan w:val="10"/>
            <w:shd w:val="clear" w:color="auto" w:fill="9CC2E5"/>
            <w:vAlign w:val="center"/>
          </w:tcPr>
          <w:p w14:paraId="30A0E6D3">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二、</w:t>
            </w:r>
            <w:r>
              <w:rPr>
                <w:rFonts w:hint="eastAsia" w:ascii="Times New Roman" w:hAnsi="Times New Roman" w:eastAsia="黑体" w:cs="Times New Roman"/>
                <w:bCs/>
                <w:color w:val="000000"/>
                <w:kern w:val="0"/>
                <w:sz w:val="24"/>
                <w:szCs w:val="20"/>
              </w:rPr>
              <w:t>任务完成</w:t>
            </w:r>
            <w:r>
              <w:rPr>
                <w:rFonts w:ascii="Times New Roman" w:hAnsi="Times New Roman" w:eastAsia="黑体" w:cs="Times New Roman"/>
                <w:bCs/>
                <w:color w:val="000000"/>
                <w:kern w:val="0"/>
                <w:sz w:val="24"/>
                <w:szCs w:val="20"/>
              </w:rPr>
              <w:t>策略</w:t>
            </w:r>
          </w:p>
        </w:tc>
      </w:tr>
      <w:tr w14:paraId="14A6D6F7">
        <w:trPr>
          <w:trHeight w:val="90" w:hRule="atLeast"/>
        </w:trPr>
        <w:tc>
          <w:tcPr>
            <w:tcW w:w="552" w:type="pct"/>
            <w:gridSpan w:val="2"/>
            <w:vAlign w:val="center"/>
          </w:tcPr>
          <w:p w14:paraId="2611A342">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资源</w:t>
            </w:r>
          </w:p>
        </w:tc>
        <w:tc>
          <w:tcPr>
            <w:tcW w:w="4447" w:type="pct"/>
            <w:gridSpan w:val="8"/>
            <w:vAlign w:val="center"/>
          </w:tcPr>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1.教学资料：工业规范与故障排查指南知识库（本地JSON）、本地模拟LLM服务（mock_llm_server，OpenAI兼容接口、离线可用，课内必做）、真实国产大模型API使用规范（课后选做、数据脱敏前置）、RAG最小可运行框架、Prompt对比案例集、Agent类/Tool类代码模板、工单M4.2任务书与评价量表、综合项目选题指南；</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2.设备环境：双创中心302实训室，Python 3.9+、jieba、requests；本地模拟LLM服务离线运行，无需外网（云端真实API仅课后选做）；</w:t>
            </w:r>
            <w:bookmarkEnd w:id="2"/>
            <w:bookmarkEnd w:id="3"/>
            <w:bookmarkEnd w:id="4"/>
            <w:bookmarkEnd w:id="5"/>
          </w:p>
          <w:p w14:paraId="5479EBD2">
            <w:pPr>
              <w:spacing w:line="320" w:lineRule="exact"/>
              <w:rPr>
                <w:rFonts w:hint="eastAsia" w:ascii="Times New Roman" w:hAnsi="Times New Roman" w:eastAsia="方正仿宋_GBK" w:cs="Times New Roman"/>
                <w:kern w:val="0"/>
                <w:szCs w:val="20"/>
              </w:rPr>
            </w:pPr>
            <w:bookmarkStart w:id="2" w:name="_Toc10351"/>
            <w:bookmarkStart w:id="3" w:name="_Toc10423"/>
            <w:bookmarkStart w:id="4" w:name="_Toc30519"/>
            <w:bookmarkStart w:id="5" w:name="_Toc1481"/>
            <w:r>
              <w:rPr>
                <w:rFonts w:ascii="Times New Roman" w:hAnsi="Times New Roman" w:eastAsia="方正仿宋_GBK" w:cs="Times New Roman"/>
                <w:kern w:val="0"/>
                <w:szCs w:val="20"/>
              </w:rPr>
              <w:t xml:space="preserve">3.教学平台：课程在线平台（大模型应用微课、API使用规范）。</w:t>
            </w:r>
            <w:bookmarkEnd w:id="2"/>
            <w:bookmarkEnd w:id="3"/>
            <w:bookmarkEnd w:id="4"/>
            <w:bookmarkEnd w:id="5"/>
          </w:p>
        </w:tc>
      </w:tr>
      <w:tr w14:paraId="04869880">
        <w:trPr>
          <w:trHeight w:val="383" w:hRule="atLeast"/>
        </w:trPr>
        <w:tc>
          <w:tcPr>
            <w:tcW w:w="552" w:type="pct"/>
            <w:gridSpan w:val="2"/>
            <w:vAlign w:val="center"/>
          </w:tcPr>
          <w:p w14:paraId="5F918863">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方法与手段</w:t>
            </w:r>
          </w:p>
        </w:tc>
        <w:tc>
          <w:tcPr>
            <w:tcW w:w="4447" w:type="pct"/>
            <w:gridSpan w:val="8"/>
            <w:vAlign w:val="center"/>
          </w:tcPr>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六步法显性映射——课前：完成“资讯·计划”（线上导学单+预习自测，教师/师傅(A)/组长(B)发布工单微课、检查环境与数据可用性）；</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中：决策（10分钟，备选方案对比+决策矩阵打分，决策结论公示并与实施绑定）→第一轮实施35分钟（体验→应用）→检查复盘5分钟（自检—互检—师查三层质检）→第二轮实施30分钟（优化）→总结评价10分钟（量表评分，工单24小时内反馈评语）；A类学生示范讲解（费曼学习法：以教代学）；</w:t>
            </w:r>
          </w:p>
          <w:p w14:paraId="4148DE9A">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课后：C/D层完成补强任务，A/B层完成拓展创新任务；更新ABCD角色轮换与组内贡献记录。</w:t>
            </w:r>
          </w:p>
        </w:tc>
      </w:tr>
      <w:tr w14:paraId="41D7E970">
        <w:trPr>
          <w:trHeight w:val="64" w:hRule="atLeast"/>
        </w:trPr>
        <w:tc>
          <w:tcPr>
            <w:tcW w:w="552" w:type="pct"/>
            <w:gridSpan w:val="2"/>
            <w:vAlign w:val="center"/>
          </w:tcPr>
          <w:p w14:paraId="0637904E">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重点措施</w:t>
            </w:r>
          </w:p>
        </w:tc>
        <w:tc>
          <w:tcPr>
            <w:tcW w:w="4447" w:type="pct"/>
            <w:gridSpan w:val="8"/>
            <w:vAlign w:val="center"/>
          </w:tcPr>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（1）对比演示：“同一个问题、三种Prompt”让优化效果直接可见；</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（2）最小框架：提供RAG可运行框架（切分→向量化→检索→生成），学生替换知识库即完成工单；</w:t>
            </w:r>
          </w:p>
          <w:p w14:paraId="1BEF6996">
            <w:pPr>
              <w:spacing w:line="320" w:lineRule="exact"/>
              <w:outlineLvl w:val="1"/>
              <w:rPr>
                <w:rFonts w:hint="eastAsia" w:ascii="Times New Roman" w:hAnsi="Times New Roman" w:eastAsia="仿宋" w:cs="Times New Roman"/>
                <w:kern w:val="0"/>
                <w:sz w:val="20"/>
                <w:szCs w:val="20"/>
              </w:rPr>
            </w:pPr>
            <w:r>
              <w:rPr>
                <w:rFonts w:hint="eastAsia" w:ascii="Times New Roman" w:hAnsi="Times New Roman" w:eastAsia="仿宋" w:cs="Times New Roman"/>
                <w:kern w:val="0"/>
                <w:sz w:val="20"/>
                <w:szCs w:val="20"/>
              </w:rPr>
              <w:t xml:space="preserve">（3）OOP迁移：复用前5周的类设计能力，实现Agent/Tool/KnowledgeBase三类的架构设计。</w:t>
            </w:r>
          </w:p>
        </w:tc>
      </w:tr>
      <w:tr w14:paraId="5D29EC3D">
        <w:trPr>
          <w:trHeight w:val="64" w:hRule="atLeast"/>
        </w:trPr>
        <w:tc>
          <w:tcPr>
            <w:tcW w:w="552" w:type="pct"/>
            <w:gridSpan w:val="2"/>
            <w:vAlign w:val="center"/>
          </w:tcPr>
          <w:p w14:paraId="4AA4416A">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难点措施</w:t>
            </w:r>
          </w:p>
        </w:tc>
        <w:tc>
          <w:tcPr>
            <w:tcW w:w="4447" w:type="pct"/>
            <w:gridSpan w:val="8"/>
            <w:vAlign w:val="center"/>
          </w:tcPr>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（1）演示企业数据脱敏处理方式，强调数据不出域合规底线；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（2）D类学生完成“Prompt优化+单轮问答”即达基础线；</w:t>
            </w:r>
          </w:p>
          <w:p w14:paraId="16A89A08">
            <w:pPr>
              <w:spacing w:line="320" w:lineRule="exact"/>
              <w:outlineLvl w:val="1"/>
              <w:rPr>
                <w:rFonts w:ascii="Times New Roman" w:hAnsi="Times New Roman" w:eastAsia="方正仿宋_GBK" w:cs="Times New Roman"/>
                <w:kern w:val="0"/>
                <w:szCs w:val="21"/>
              </w:rPr>
            </w:pPr>
            <w:r>
              <w:rPr>
                <w:rFonts w:ascii="Times New Roman" w:hAnsi="Times New Roman" w:eastAsia="方正仿宋_GBK" w:cs="Times New Roman"/>
                <w:kern w:val="0"/>
                <w:szCs w:val="21"/>
                <w:lang w:val="en-US" w:eastAsia="zh-CN"/>
              </w:rPr>
              <w:t xml:space="preserve">（3）课堂一律使用本地模拟LLM服务（离线稳定），真实API仅作课后选做并配脱敏规范。</w:t>
            </w:r>
          </w:p>
        </w:tc>
      </w:tr>
      <w:tr w14:paraId="627168D8">
        <w:trPr>
          <w:trHeight w:val="64" w:hRule="atLeast"/>
        </w:trPr>
        <w:tc>
          <w:tcPr>
            <w:tcW w:w="5000" w:type="pct"/>
            <w:gridSpan w:val="10"/>
            <w:shd w:val="clear" w:color="auto" w:fill="9CC2E5"/>
            <w:vAlign w:val="center"/>
          </w:tcPr>
          <w:p w14:paraId="2C58B701">
            <w:pPr>
              <w:spacing w:line="320" w:lineRule="exact"/>
              <w:rPr>
                <w:rFonts w:ascii="Times New Roman" w:hAnsi="Times New Roman" w:eastAsia="等线" w:cs="Times New Roman"/>
                <w:b/>
                <w:kern w:val="0"/>
                <w:sz w:val="24"/>
                <w:szCs w:val="20"/>
              </w:rPr>
            </w:pPr>
            <w:r>
              <w:rPr>
                <w:rFonts w:ascii="Times New Roman" w:hAnsi="Times New Roman" w:eastAsia="黑体" w:cs="Times New Roman"/>
                <w:bCs/>
                <w:color w:val="000000"/>
                <w:kern w:val="0"/>
                <w:sz w:val="24"/>
                <w:szCs w:val="20"/>
              </w:rPr>
              <w:t>三、</w:t>
            </w:r>
            <w:r>
              <w:rPr>
                <w:rFonts w:hint="eastAsia" w:ascii="Times New Roman" w:hAnsi="Times New Roman" w:eastAsia="黑体" w:cs="Times New Roman"/>
                <w:bCs/>
                <w:color w:val="000000"/>
                <w:kern w:val="0"/>
                <w:sz w:val="24"/>
                <w:szCs w:val="20"/>
              </w:rPr>
              <w:t>任务实施</w:t>
            </w:r>
          </w:p>
        </w:tc>
      </w:tr>
      <w:tr w14:paraId="514499C3">
        <w:trPr>
          <w:trHeight w:val="419" w:hRule="atLeast"/>
        </w:trPr>
        <w:tc>
          <w:tcPr>
            <w:tcW w:w="378" w:type="pct"/>
            <w:vAlign w:val="center"/>
          </w:tcPr>
          <w:p w14:paraId="19655A62">
            <w:pPr>
              <w:spacing w:line="320" w:lineRule="exact"/>
              <w:jc w:val="center"/>
              <w:rPr>
                <w:rFonts w:ascii="Times New Roman" w:hAnsi="Times New Roman" w:eastAsia="方正仿宋_GBK" w:cs="Times New Roman"/>
                <w:b/>
                <w:bCs/>
                <w:kern w:val="0"/>
                <w:sz w:val="20"/>
                <w:szCs w:val="20"/>
              </w:rPr>
            </w:pPr>
            <w:r>
              <w:rPr>
                <w:rFonts w:hint="eastAsia" w:ascii="Times New Roman" w:hAnsi="Times New Roman" w:eastAsia="方正仿宋_GBK" w:cs="Times New Roman"/>
                <w:b/>
                <w:bCs/>
                <w:kern w:val="0"/>
                <w:szCs w:val="20"/>
              </w:rPr>
              <w:t>任务流程</w:t>
            </w:r>
          </w:p>
        </w:tc>
        <w:tc>
          <w:tcPr>
            <w:tcW w:w="1903" w:type="pct"/>
            <w:gridSpan w:val="4"/>
            <w:vAlign w:val="center"/>
          </w:tcPr>
          <w:p w14:paraId="60492C9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教师行为</w:t>
            </w:r>
          </w:p>
        </w:tc>
        <w:tc>
          <w:tcPr>
            <w:tcW w:w="1277" w:type="pct"/>
            <w:gridSpan w:val="2"/>
            <w:vAlign w:val="center"/>
          </w:tcPr>
          <w:p w14:paraId="72410954">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学生行为</w:t>
            </w:r>
          </w:p>
        </w:tc>
        <w:tc>
          <w:tcPr>
            <w:tcW w:w="956" w:type="pct"/>
            <w:gridSpan w:val="2"/>
            <w:vAlign w:val="center"/>
          </w:tcPr>
          <w:p w14:paraId="440FBF3F">
            <w:pPr>
              <w:spacing w:line="320" w:lineRule="exact"/>
              <w:jc w:val="center"/>
              <w:rPr>
                <w:rFonts w:ascii="Times New Roman" w:hAnsi="Times New Roman" w:eastAsia="方正仿宋_GBK" w:cs="Times New Roman"/>
                <w:b/>
                <w:bCs/>
                <w:kern w:val="0"/>
                <w:szCs w:val="20"/>
              </w:rPr>
            </w:pPr>
            <w:r>
              <w:rPr>
                <w:rFonts w:hint="eastAsia" w:ascii="Times New Roman" w:hAnsi="Times New Roman" w:eastAsia="方正仿宋_GBK" w:cs="Times New Roman"/>
                <w:b/>
                <w:bCs/>
                <w:kern w:val="0"/>
                <w:szCs w:val="20"/>
              </w:rPr>
              <w:t>节点目标</w:t>
            </w:r>
          </w:p>
        </w:tc>
        <w:tc>
          <w:tcPr>
            <w:tcW w:w="484" w:type="pct"/>
            <w:vAlign w:val="center"/>
          </w:tcPr>
          <w:p w14:paraId="2B28A4BC">
            <w:pPr>
              <w:spacing w:line="320" w:lineRule="exact"/>
              <w:jc w:val="center"/>
              <w:rPr>
                <w:rFonts w:ascii="Times New Roman" w:hAnsi="Times New Roman" w:eastAsia="仿宋" w:cs="Times New Roman"/>
                <w:b/>
                <w:bCs/>
                <w:kern w:val="0"/>
                <w:sz w:val="20"/>
                <w:szCs w:val="20"/>
              </w:rPr>
            </w:pPr>
            <w:r>
              <w:rPr>
                <w:rFonts w:hint="eastAsia" w:ascii="Times New Roman" w:hAnsi="Times New Roman" w:eastAsia="仿宋" w:cs="Times New Roman"/>
                <w:b/>
                <w:bCs/>
                <w:kern w:val="0"/>
                <w:sz w:val="20"/>
                <w:szCs w:val="20"/>
              </w:rPr>
              <w:t>学时</w:t>
            </w:r>
          </w:p>
        </w:tc>
      </w:tr>
      <w:tr w14:paraId="014BE2B9">
        <w:trPr>
          <w:trHeight w:val="850" w:hRule="atLeast"/>
        </w:trPr>
        <w:tc>
          <w:tcPr>
            <w:tcW w:w="378" w:type="pct"/>
            <w:vAlign w:val="center"/>
          </w:tcPr>
          <w:p w14:paraId="12A308FB">
            <w:pPr>
              <w:spacing w:line="320" w:lineRule="exact"/>
              <w:jc w:val="center"/>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课前准备</w:t>
            </w:r>
          </w:p>
        </w:tc>
        <w:tc>
          <w:tcPr>
            <w:tcW w:w="1903" w:type="pct"/>
            <w:gridSpan w:val="4"/>
            <w:vAlign w:val="center"/>
          </w:tcPr>
          <w:p w14:paraId="139C4C38">
            <w:pPr>
              <w:keepNext w:val="0"/>
              <w:keepLines w:val="0"/>
              <w:widowControl/>
              <w:suppressLineNumbers w:val="0"/>
              <w:spacing w:line="320" w:lineRule="exact"/>
              <w:jc w:val="left"/>
              <w:rPr>
                <w:rFonts w:hint="eastAsia"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lang w:val="en-US" w:eastAsia="zh-CN"/>
              </w:rPr>
              <w:t xml:space="preserve">发布任务书/工单与评价标准；准备演示代码与数据集；检查GPU环境、依赖库与API密钥可用性。</w:t>
            </w:r>
          </w:p>
        </w:tc>
        <w:tc>
          <w:tcPr>
            <w:tcW w:w="1277" w:type="pct"/>
            <w:gridSpan w:val="2"/>
            <w:vAlign w:val="center"/>
          </w:tcPr>
          <w:p w14:paraId="6BD487F9">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A/B类完成微课预习与开发环境自检；C/D类观看演示视频并记录疑问；A类尝试运行示例代码并准备示范要点清单。</w:t>
            </w:r>
          </w:p>
        </w:tc>
        <w:tc>
          <w:tcPr>
            <w:tcW w:w="956" w:type="pct"/>
            <w:gridSpan w:val="2"/>
            <w:vAlign w:val="center"/>
          </w:tcPr>
          <w:p w14:paraId="1232C408">
            <w:pPr>
              <w:keepNext w:val="0"/>
              <w:keepLines w:val="0"/>
              <w:widowControl/>
              <w:suppressLineNumbers w:val="0"/>
              <w:spacing w:line="320" w:lineRule="exact"/>
              <w:jc w:val="left"/>
              <w:rPr>
                <w:rFonts w:ascii="Times New Roman" w:hAnsi="Times New Roman" w:eastAsia="方正仿宋_GBK" w:cs="Times New Roman"/>
                <w:kern w:val="0"/>
                <w:sz w:val="20"/>
                <w:szCs w:val="20"/>
              </w:rPr>
            </w:pPr>
            <w:r>
              <w:rPr>
                <w:rFonts w:hint="eastAsia" w:ascii="Times New Roman" w:hAnsi="Times New Roman" w:eastAsia="方正仿宋_GBK" w:cs="Times New Roman"/>
                <w:kern w:val="0"/>
                <w:sz w:val="20"/>
                <w:szCs w:val="20"/>
              </w:rPr>
              <w:t xml:space="preserve">完成预习与资源到位</w:t>
            </w:r>
          </w:p>
        </w:tc>
        <w:tc>
          <w:tcPr>
            <w:tcW w:w="484" w:type="pct"/>
            <w:vAlign w:val="center"/>
          </w:tcPr>
          <w:p w14:paraId="409723F9">
            <w:pPr>
              <w:keepNext w:val="0"/>
              <w:keepLines w:val="0"/>
              <w:widowControl/>
              <w:suppressLineNumbers w:val="0"/>
              <w:spacing w:line="320" w:lineRule="exact"/>
              <w:jc w:val="left"/>
              <w:rPr>
                <w:rFonts w:hint="default" w:ascii="Times New Roman" w:hAnsi="Times New Roman" w:eastAsia="仿宋" w:cs="Times New Roman"/>
                <w:kern w:val="0"/>
                <w:sz w:val="20"/>
                <w:szCs w:val="20"/>
                <w:lang w:val="en-US"/>
              </w:rPr>
            </w:pPr>
            <w:r>
              <w:rPr>
                <w:rFonts w:ascii="NotoSerifSC-ExtraLight" w:hAnsi="NotoSerifSC-ExtraLight" w:eastAsia="NotoSerifSC-ExtraLight" w:cs="NotoSerifSC-ExtraLight"/>
                <w:color w:val="000000"/>
                <w:kern w:val="0"/>
                <w:sz w:val="22"/>
                <w:szCs w:val="22"/>
                <w:lang w:val="en-US" w:eastAsia="zh-CN" w:bidi="ar"/>
              </w:rPr>
              <w:t xml:space="preserve"> 课前</w:t>
            </w:r>
          </w:p>
        </w:tc>
      </w:tr>
      <w:tr w14:paraId="6989C4E4">
        <w:trPr>
          <w:trHeight w:val="960" w:hRule="atLeast"/>
        </w:trPr>
        <w:tc>
          <w:tcPr>
            <w:tcW w:w="378" w:type="pct"/>
            <w:vAlign w:val="center"/>
          </w:tcPr>
          <w:p w14:paraId="4FCBA30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任务导入</w:t>
            </w:r>
          </w:p>
        </w:tc>
        <w:tc>
          <w:tcPr>
            <w:tcW w:w="1903" w:type="pct"/>
            <w:gridSpan w:val="4"/>
            <w:vAlign w:val="center"/>
          </w:tcPr>
          <w:p w14:paraId="523A57E6">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情境导入（企业真实故障案例/视频/问题驱动）；明确本任务产出（工单项目）与检查点；提示数据安全与实验规范。</w:t>
            </w:r>
          </w:p>
        </w:tc>
        <w:tc>
          <w:tcPr>
            <w:tcW w:w="1277" w:type="pct"/>
            <w:gridSpan w:val="2"/>
            <w:vAlign w:val="center"/>
          </w:tcPr>
          <w:p w14:paraId="47927BBD">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围绕任务书进行要点提取；小组讨论“交付标准+风险点”。</w:t>
            </w:r>
          </w:p>
        </w:tc>
        <w:tc>
          <w:tcPr>
            <w:tcW w:w="956" w:type="pct"/>
            <w:gridSpan w:val="2"/>
            <w:vAlign w:val="center"/>
          </w:tcPr>
          <w:p w14:paraId="75608D8C">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建立任务目标与工程代入感</w:t>
            </w:r>
          </w:p>
        </w:tc>
        <w:tc>
          <w:tcPr>
            <w:tcW w:w="484" w:type="pct"/>
            <w:vAlign w:val="center"/>
          </w:tcPr>
          <w:p w14:paraId="3D407618">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10min</w:t>
            </w:r>
          </w:p>
        </w:tc>
      </w:tr>
      <w:tr w14:paraId="3B17B4E7">
        <w:trPr>
          <w:trHeight w:val="64" w:hRule="atLeast"/>
        </w:trPr>
        <w:tc>
          <w:tcPr>
            <w:tcW w:w="5000" w:type="pct"/>
            <w:gridSpan w:val="10"/>
            <w:vAlign w:val="center"/>
          </w:tcPr>
          <w:p w14:paraId="0036383A">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第一轮</w:t>
            </w:r>
          </w:p>
        </w:tc>
      </w:tr>
      <w:tr w14:paraId="2EF401DE">
        <w:trPr>
          <w:trHeight w:val="64" w:hRule="atLeast"/>
        </w:trPr>
        <w:tc>
          <w:tcPr>
            <w:tcW w:w="378" w:type="pct"/>
            <w:vAlign w:val="center"/>
          </w:tcPr>
          <w:p w14:paraId="133C5354">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0C557FFB">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精讲演示Prompt优化、RAG检索问答与Agent决策过程；现场评判操作质量；引导A操作、B操作、C记录、D观摩。</w:t>
            </w:r>
          </w:p>
        </w:tc>
        <w:tc>
          <w:tcPr>
            <w:tcW w:w="1277" w:type="pct"/>
            <w:gridSpan w:val="2"/>
            <w:vAlign w:val="center"/>
          </w:tcPr>
          <w:p w14:paraId="53AA6F30">
            <w:pPr>
              <w:keepNext w:val="0"/>
              <w:keepLines w:val="0"/>
              <w:widowControl/>
              <w:suppressLineNumbers w:val="0"/>
              <w:spacing w:line="320" w:lineRule="exact"/>
              <w:jc w:val="left"/>
              <w:rPr>
                <w:rFonts w:hint="eastAsia" w:ascii="Times New Roman" w:hAnsi="Times New Roman" w:eastAsia="方正仿宋_GBK" w:cs="Times New Roman"/>
                <w:kern w:val="0"/>
                <w:sz w:val="20"/>
                <w:szCs w:val="20"/>
                <w:lang w:val="en-US" w:eastAsia="zh-CN"/>
              </w:rPr>
            </w:pPr>
            <w:r>
              <w:rPr>
                <w:rFonts w:hint="eastAsia" w:ascii="Times New Roman" w:hAnsi="Times New Roman" w:eastAsia="方正仿宋_GBK" w:cs="Times New Roman"/>
                <w:kern w:val="0"/>
                <w:sz w:val="20"/>
                <w:szCs w:val="20"/>
                <w:lang w:val="en-US" w:eastAsia="zh-CN"/>
              </w:rPr>
              <w:t xml:space="preserve">A类学生完成Agent多步推理链设计并演示；B类学生完成RAG系统搭建（知识库+查询）；C类记录不同Prompt的回答质量对比；D类观摩并完成Prompt优化跟做。</w:t>
            </w:r>
          </w:p>
        </w:tc>
        <w:tc>
          <w:tcPr>
            <w:tcW w:w="956" w:type="pct"/>
            <w:gridSpan w:val="2"/>
            <w:vAlign w:val="center"/>
          </w:tcPr>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会调用LLM并完成RAG最小系统；</w:t>
            </w:r>
          </w:p>
          <w:p w14:paraId="03DA847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形成智能问答演示样例与关键注意点。</w:t>
            </w:r>
          </w:p>
        </w:tc>
        <w:tc>
          <w:tcPr>
            <w:tcW w:w="484" w:type="pct"/>
            <w:vAlign w:val="center"/>
          </w:tcPr>
          <w:p w14:paraId="7117891D">
            <w:pPr>
              <w:spacing w:line="320" w:lineRule="exact"/>
              <w:jc w:val="lef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35min</w:t>
            </w:r>
          </w:p>
        </w:tc>
      </w:tr>
      <w:tr w14:paraId="2C4F6E73">
        <w:trPr>
          <w:trHeight w:val="64" w:hRule="atLeast"/>
        </w:trPr>
        <w:tc>
          <w:tcPr>
            <w:tcW w:w="378" w:type="pct"/>
            <w:vAlign w:val="center"/>
          </w:tcPr>
          <w:p w14:paraId="5A518D4D">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任务复盘</w:t>
            </w:r>
          </w:p>
        </w:tc>
        <w:tc>
          <w:tcPr>
            <w:tcW w:w="1903" w:type="pct"/>
            <w:gridSpan w:val="4"/>
            <w:vAlign w:val="center"/>
          </w:tcPr>
          <w:p w14:paraId="05A6A249">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1.A类汇报操作成果与问题。2.点评关键点：数据质量、指标解读、代码规范、协作效率。</w:t>
            </w:r>
          </w:p>
        </w:tc>
        <w:tc>
          <w:tcPr>
            <w:tcW w:w="1277" w:type="pct"/>
            <w:gridSpan w:val="2"/>
            <w:vAlign w:val="center"/>
          </w:tcPr>
          <w:p w14:paraId="64AC7FCB">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复盘：A类总结难点转化为给B/C/D类的“避坑指南”。</w:t>
            </w:r>
          </w:p>
        </w:tc>
        <w:tc>
          <w:tcPr>
            <w:tcW w:w="956" w:type="pct"/>
            <w:gridSpan w:val="2"/>
            <w:vAlign w:val="center"/>
          </w:tcPr>
          <w:p w14:paraId="706B6637">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形成可迁移经验与统一规范。沉淀可复用方法，促进反思与表达。</w:t>
            </w:r>
          </w:p>
        </w:tc>
        <w:tc>
          <w:tcPr>
            <w:tcW w:w="484" w:type="pct"/>
            <w:vAlign w:val="center"/>
          </w:tcPr>
          <w:p w14:paraId="0D23AA78">
            <w:pPr>
              <w:spacing w:line="320" w:lineRule="exact"/>
              <w:rPr>
                <w:rFonts w:ascii="Times New Roman" w:hAnsi="Times New Roman" w:eastAsia="仿宋" w:cs="Times New Roman"/>
                <w:kern w:val="0"/>
                <w:sz w:val="20"/>
                <w:szCs w:val="20"/>
              </w:rPr>
            </w:pPr>
            <w:r>
              <w:rPr>
                <w:rFonts w:hint="eastAsia" w:ascii="Times New Roman" w:hAnsi="Times New Roman" w:eastAsia="方正仿宋_GBK" w:cs="Times New Roman"/>
                <w:kern w:val="0"/>
                <w:szCs w:val="20"/>
                <w:lang w:val="en-US" w:eastAsia="zh-CN"/>
              </w:rPr>
              <w:t xml:space="preserve">5min</w:t>
            </w:r>
          </w:p>
        </w:tc>
      </w:tr>
      <w:tr w14:paraId="6F8CB0C3">
        <w:trPr>
          <w:trHeight w:val="64" w:hRule="atLeast"/>
        </w:trPr>
        <w:tc>
          <w:tcPr>
            <w:tcW w:w="5000" w:type="pct"/>
            <w:gridSpan w:val="10"/>
            <w:vAlign w:val="center"/>
          </w:tcPr>
          <w:p w14:paraId="226749F3">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第二轮</w:t>
            </w:r>
          </w:p>
        </w:tc>
      </w:tr>
      <w:tr w14:paraId="043BF7EF">
        <w:trPr>
          <w:trHeight w:val="64" w:hRule="atLeast"/>
        </w:trPr>
        <w:tc>
          <w:tcPr>
            <w:tcW w:w="378" w:type="pct"/>
            <w:vAlign w:val="center"/>
          </w:tcPr>
          <w:p w14:paraId="0FDD8F36">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任务实施</w:t>
            </w:r>
          </w:p>
        </w:tc>
        <w:tc>
          <w:tcPr>
            <w:tcW w:w="1903" w:type="pct"/>
            <w:gridSpan w:val="4"/>
            <w:vAlign w:val="center"/>
          </w:tcPr>
          <w:p w14:paraId="2038A012">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任务检查：检查B/C/D学生问答效果；回顾容错处理要点；监督/评判；巡回指导排错；布置综合项目。</w:t>
            </w:r>
          </w:p>
        </w:tc>
        <w:tc>
          <w:tcPr>
            <w:tcW w:w="1277" w:type="pct"/>
            <w:gridSpan w:val="2"/>
            <w:vAlign w:val="center"/>
          </w:tcPr>
          <w:p w14:paraId="63666F5E">
            <w:pPr>
              <w:spacing w:line="320" w:lineRule="exact"/>
              <w:jc w:val="left"/>
              <w:rPr>
                <w:rFonts w:hint="eastAsia"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rPr>
              <w:t xml:space="preserve">B类学生完成≥5个典型工业问题的正确回答；C/D类学生完成多轮对话体验记录；A类学生指导、B类学生辅助记录。</w:t>
            </w:r>
          </w:p>
        </w:tc>
        <w:tc>
          <w:tcPr>
            <w:tcW w:w="956" w:type="pct"/>
            <w:gridSpan w:val="2"/>
            <w:vAlign w:val="center"/>
          </w:tcPr>
          <w:p w14:paraId="3BAFB8F1">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完成M4.2工单并达标；明确综合项目要求。</w:t>
            </w:r>
          </w:p>
        </w:tc>
        <w:tc>
          <w:tcPr>
            <w:tcW w:w="484" w:type="pct"/>
            <w:vAlign w:val="center"/>
          </w:tcPr>
          <w:p w14:paraId="69DAA6C0">
            <w:pPr>
              <w:spacing w:line="320" w:lineRule="exact"/>
              <w:rPr>
                <w:rFonts w:hint="default" w:ascii="Times New Roman" w:hAnsi="Times New Roman" w:eastAsia="方正仿宋_GBK" w:cs="Times New Roman"/>
                <w:kern w:val="0"/>
                <w:szCs w:val="20"/>
                <w:lang w:val="en-US" w:eastAsia="zh-CN"/>
              </w:rPr>
            </w:pPr>
            <w:r>
              <w:rPr>
                <w:rFonts w:hint="eastAsia" w:ascii="Times New Roman" w:hAnsi="Times New Roman" w:eastAsia="方正仿宋_GBK" w:cs="Times New Roman"/>
                <w:kern w:val="0"/>
                <w:szCs w:val="20"/>
                <w:lang w:val="en-US" w:eastAsia="zh-CN"/>
              </w:rPr>
              <w:t xml:space="preserve">30min</w:t>
            </w:r>
          </w:p>
        </w:tc>
      </w:tr>
      <w:tr w14:paraId="68919EC1">
        <w:trPr>
          <w:trHeight w:val="64" w:hRule="atLeast"/>
        </w:trPr>
        <w:tc>
          <w:tcPr>
            <w:tcW w:w="378" w:type="pct"/>
            <w:vAlign w:val="center"/>
          </w:tcPr>
          <w:p w14:paraId="20F75D28">
            <w:pPr>
              <w:spacing w:line="320" w:lineRule="exact"/>
              <w:jc w:val="center"/>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任务总结</w:t>
            </w:r>
          </w:p>
        </w:tc>
        <w:tc>
          <w:tcPr>
            <w:tcW w:w="1903" w:type="pct"/>
            <w:gridSpan w:val="4"/>
            <w:vAlign w:val="center"/>
          </w:tcPr>
          <w:p w14:paraId="13F8CB26">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1.各小组汇报工单成果与问题；2.点评关键点：模型指标、代码规范、创新点；3.布置课后拓展与下次课预习。</w:t>
            </w:r>
          </w:p>
        </w:tc>
        <w:tc>
          <w:tcPr>
            <w:tcW w:w="1277" w:type="pct"/>
            <w:gridSpan w:val="2"/>
            <w:vAlign w:val="center"/>
          </w:tcPr>
          <w:p w14:paraId="1F5248CD">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小组代表汇报成果与问题；完成互评与个人反思；提交工单与过程记录。</w:t>
            </w:r>
          </w:p>
        </w:tc>
        <w:tc>
          <w:tcPr>
            <w:tcW w:w="956" w:type="pct"/>
            <w:gridSpan w:val="2"/>
            <w:vAlign w:val="center"/>
          </w:tcPr>
          <w:p w14:paraId="32BFAA81">
            <w:pPr>
              <w:spacing w:line="320" w:lineRule="exact"/>
              <w:jc w:val="left"/>
              <w:rPr>
                <w:rFonts w:ascii="Times New Roman" w:hAnsi="Times New Roman" w:eastAsia="方正仿宋_GBK" w:cs="Times New Roman"/>
                <w:kern w:val="0"/>
                <w:szCs w:val="20"/>
              </w:rPr>
            </w:pPr>
            <w:r>
              <w:rPr>
                <w:rFonts w:ascii="Times New Roman" w:hAnsi="Times New Roman" w:eastAsia="方正仿宋_GBK" w:cs="Times New Roman"/>
                <w:kern w:val="0"/>
                <w:szCs w:val="20"/>
              </w:rPr>
              <w:t xml:space="preserve">训练决策能力与团队协作。培养总结反思能力与持续改进意识；通过汇报提升表达与逻辑思维能力。</w:t>
            </w:r>
          </w:p>
        </w:tc>
        <w:tc>
          <w:tcPr>
            <w:tcW w:w="484" w:type="pct"/>
            <w:vAlign w:val="center"/>
          </w:tcPr>
          <w:p w14:paraId="7DFCDC05">
            <w:pPr>
              <w:spacing w:line="320" w:lineRule="exac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10min</w:t>
            </w:r>
          </w:p>
        </w:tc>
      </w:tr>
      <w:tr w14:paraId="169E1259">
        <w:trPr>
          <w:trHeight w:val="569" w:hRule="atLeast"/>
        </w:trPr>
        <w:tc>
          <w:tcPr>
            <w:tcW w:w="5000" w:type="pct"/>
            <w:gridSpan w:val="10"/>
            <w:shd w:val="clear" w:color="auto" w:fill="DEEAF6"/>
            <w:vAlign w:val="center"/>
          </w:tcPr>
          <w:p w14:paraId="03E8D773">
            <w:pPr>
              <w:spacing w:line="320" w:lineRule="exact"/>
              <w:ind w:left="360" w:hanging="360"/>
              <w:rPr>
                <w:rFonts w:ascii="Times New Roman" w:hAnsi="Times New Roman" w:eastAsia="等线" w:cs="Times New Roman"/>
                <w:kern w:val="0"/>
                <w:sz w:val="24"/>
                <w:szCs w:val="20"/>
              </w:rPr>
            </w:pPr>
            <w:r>
              <w:rPr>
                <w:rFonts w:hint="eastAsia" w:ascii="Times New Roman" w:hAnsi="Times New Roman" w:eastAsia="黑体" w:cs="Times New Roman"/>
                <w:color w:val="000000"/>
                <w:kern w:val="0"/>
                <w:sz w:val="24"/>
                <w:szCs w:val="20"/>
              </w:rPr>
              <w:t>课后拓展</w:t>
            </w:r>
          </w:p>
        </w:tc>
      </w:tr>
      <w:tr w14:paraId="561CE96C">
        <w:trPr>
          <w:trHeight w:val="411" w:hRule="atLeast"/>
        </w:trPr>
        <w:tc>
          <w:tcPr>
            <w:tcW w:w="378" w:type="pct"/>
            <w:vAlign w:val="center"/>
          </w:tcPr>
          <w:p w14:paraId="4932A351">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学习内容</w:t>
            </w:r>
          </w:p>
        </w:tc>
        <w:tc>
          <w:tcPr>
            <w:tcW w:w="1903" w:type="pct"/>
            <w:gridSpan w:val="4"/>
            <w:vAlign w:val="center"/>
          </w:tcPr>
          <w:p w14:paraId="36B0431A">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教师活动</w:t>
            </w:r>
          </w:p>
        </w:tc>
        <w:tc>
          <w:tcPr>
            <w:tcW w:w="1277" w:type="pct"/>
            <w:gridSpan w:val="2"/>
            <w:vAlign w:val="center"/>
          </w:tcPr>
          <w:p w14:paraId="230B0CC5">
            <w:pPr>
              <w:spacing w:line="320" w:lineRule="exact"/>
              <w:jc w:val="center"/>
              <w:rPr>
                <w:rFonts w:ascii="Times New Roman" w:hAnsi="Times New Roman" w:eastAsia="方正仿宋_GBK" w:cs="Times New Roman"/>
                <w:b/>
                <w:bCs/>
                <w:kern w:val="0"/>
                <w:sz w:val="20"/>
                <w:szCs w:val="20"/>
              </w:rPr>
            </w:pPr>
            <w:r>
              <w:rPr>
                <w:rFonts w:ascii="Times New Roman" w:hAnsi="Times New Roman" w:eastAsia="方正仿宋_GBK" w:cs="Times New Roman"/>
                <w:b/>
                <w:bCs/>
                <w:kern w:val="0"/>
                <w:szCs w:val="20"/>
              </w:rPr>
              <w:t>学生活动</w:t>
            </w:r>
          </w:p>
        </w:tc>
        <w:tc>
          <w:tcPr>
            <w:tcW w:w="956" w:type="pct"/>
            <w:gridSpan w:val="2"/>
            <w:vAlign w:val="center"/>
          </w:tcPr>
          <w:p w14:paraId="79F5B09D">
            <w:pPr>
              <w:spacing w:line="320" w:lineRule="exact"/>
              <w:jc w:val="center"/>
              <w:rPr>
                <w:rFonts w:ascii="Times New Roman" w:hAnsi="Times New Roman" w:eastAsia="方正仿宋_GBK" w:cs="Times New Roman"/>
                <w:b/>
                <w:bCs/>
                <w:kern w:val="0"/>
                <w:szCs w:val="20"/>
              </w:rPr>
            </w:pPr>
            <w:r>
              <w:rPr>
                <w:rFonts w:ascii="Times New Roman" w:hAnsi="Times New Roman" w:eastAsia="方正仿宋_GBK" w:cs="Times New Roman"/>
                <w:b/>
                <w:bCs/>
                <w:kern w:val="0"/>
                <w:szCs w:val="20"/>
              </w:rPr>
              <w:t>设计意图</w:t>
            </w:r>
          </w:p>
        </w:tc>
        <w:tc>
          <w:tcPr>
            <w:tcW w:w="484" w:type="pct"/>
            <w:vAlign w:val="center"/>
          </w:tcPr>
          <w:p w14:paraId="61856913">
            <w:pPr>
              <w:spacing w:line="320" w:lineRule="exact"/>
              <w:jc w:val="center"/>
              <w:rPr>
                <w:rFonts w:ascii="Times New Roman" w:hAnsi="Times New Roman" w:eastAsia="仿宋" w:cs="Times New Roman"/>
                <w:kern w:val="0"/>
                <w:sz w:val="20"/>
                <w:szCs w:val="20"/>
              </w:rPr>
            </w:pPr>
          </w:p>
        </w:tc>
      </w:tr>
      <w:tr w14:paraId="78C59E40">
        <w:trPr>
          <w:trHeight w:val="64" w:hRule="atLeast"/>
        </w:trPr>
        <w:tc>
          <w:tcPr>
            <w:tcW w:w="378" w:type="pct"/>
            <w:vAlign w:val="center"/>
          </w:tcPr>
          <w:p w14:paraId="2E33C72D">
            <w:pPr>
              <w:spacing w:line="320" w:lineRule="exact"/>
              <w:jc w:val="left"/>
              <w:rPr>
                <w:rFonts w:ascii="Times New Roman" w:hAnsi="Times New Roman" w:eastAsia="方正仿宋_GBK" w:cs="Times New Roman"/>
                <w:kern w:val="0"/>
                <w:szCs w:val="20"/>
              </w:rPr>
            </w:pPr>
          </w:p>
        </w:tc>
        <w:tc>
          <w:tcPr>
            <w:tcW w:w="1903" w:type="pct"/>
            <w:gridSpan w:val="4"/>
            <w:vAlign w:val="center"/>
          </w:tcPr>
          <w:p w14:paraId="136CD541">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推送提升任务（技能竞赛/1+X证书/拓展案例）；收集数据用于诊改。</w:t>
            </w:r>
          </w:p>
        </w:tc>
        <w:tc>
          <w:tcPr>
            <w:tcW w:w="1277" w:type="pct"/>
            <w:gridSpan w:val="2"/>
            <w:vAlign w:val="center"/>
          </w:tcPr>
          <w:p w14:paraId="15DA44CF">
            <w:pPr>
              <w:spacing w:line="320" w:lineRule="exact"/>
              <w:jc w:val="lef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lang w:val="en-US" w:eastAsia="zh-CN"/>
              </w:rPr>
              <w:t xml:space="preserve">C/D类完成课程知识图谱总结；A/B类冲击优秀标准（回答≥10个问题、多轮对话、推理过程清晰）并启动综合项目设计；整理学习笔记与代码归档。</w:t>
            </w:r>
          </w:p>
        </w:tc>
        <w:tc>
          <w:tcPr>
            <w:tcW w:w="956" w:type="pct"/>
            <w:gridSpan w:val="2"/>
            <w:vAlign w:val="center"/>
          </w:tcPr>
          <w:p w14:paraId="4BB46DE6">
            <w:pPr>
              <w:spacing w:line="320" w:lineRule="exact"/>
              <w:jc w:val="left"/>
              <w:rPr>
                <w:rFonts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巩固迁移与持续改进</w:t>
            </w:r>
          </w:p>
        </w:tc>
        <w:tc>
          <w:tcPr>
            <w:tcW w:w="484" w:type="pct"/>
            <w:vAlign w:val="center"/>
          </w:tcPr>
          <w:p w14:paraId="63E8E5D2">
            <w:pPr>
              <w:spacing w:line="320" w:lineRule="exact"/>
              <w:jc w:val="center"/>
              <w:rPr>
                <w:rFonts w:hint="eastAsia" w:ascii="Times New Roman" w:hAnsi="Times New Roman" w:eastAsia="仿宋" w:cs="Times New Roman"/>
                <w:kern w:val="0"/>
                <w:sz w:val="20"/>
                <w:szCs w:val="20"/>
                <w:lang w:val="en-US" w:eastAsia="zh-CN"/>
              </w:rPr>
            </w:pPr>
            <w:r>
              <w:rPr>
                <w:rFonts w:hint="eastAsia" w:ascii="Times New Roman" w:hAnsi="Times New Roman" w:eastAsia="仿宋" w:cs="Times New Roman"/>
                <w:kern w:val="0"/>
                <w:sz w:val="20"/>
                <w:szCs w:val="20"/>
                <w:lang w:val="en-US" w:eastAsia="zh-CN"/>
              </w:rPr>
              <w:t xml:space="preserve">课后</w:t>
            </w:r>
          </w:p>
        </w:tc>
      </w:tr>
      <w:bookmarkEnd w:id="1"/>
      <w:tr w14:paraId="75076089">
        <w:trPr>
          <w:trHeight w:val="64" w:hRule="atLeast"/>
        </w:trPr>
        <w:tc>
          <w:tcPr>
            <w:tcW w:w="5000" w:type="pct"/>
            <w:gridSpan w:val="10"/>
            <w:shd w:val="clear" w:color="auto" w:fill="9CC2E5"/>
            <w:vAlign w:val="center"/>
          </w:tcPr>
          <w:p w14:paraId="5C34EA24">
            <w:pPr>
              <w:spacing w:line="320" w:lineRule="exact"/>
              <w:rPr>
                <w:rFonts w:ascii="Times New Roman" w:hAnsi="Times New Roman" w:eastAsia="等线" w:cs="Times New Roman"/>
                <w:b/>
                <w:kern w:val="0"/>
                <w:sz w:val="24"/>
                <w:szCs w:val="20"/>
              </w:rPr>
            </w:pPr>
            <w:r>
              <w:rPr>
                <w:rFonts w:ascii="Times New Roman" w:hAnsi="Times New Roman" w:eastAsia="黑体" w:cs="Times New Roman"/>
                <w:color w:val="000000"/>
                <w:kern w:val="0"/>
                <w:sz w:val="24"/>
                <w:szCs w:val="20"/>
              </w:rPr>
              <w:t>四、反思诊改</w:t>
            </w:r>
          </w:p>
        </w:tc>
      </w:tr>
      <w:tr w14:paraId="3F864DC2">
        <w:trPr>
          <w:trHeight w:val="325" w:hRule="atLeast"/>
        </w:trPr>
        <w:tc>
          <w:tcPr>
            <w:tcW w:w="552" w:type="pct"/>
            <w:gridSpan w:val="2"/>
            <w:vAlign w:val="center"/>
          </w:tcPr>
          <w:p w14:paraId="370F5278">
            <w:pPr>
              <w:spacing w:line="320" w:lineRule="exact"/>
              <w:jc w:val="center"/>
              <w:rPr>
                <w:rFonts w:ascii="Times New Roman" w:hAnsi="Times New Roman" w:eastAsia="黑体" w:cs="Times New Roman"/>
                <w:color w:val="000000"/>
                <w:kern w:val="0"/>
                <w:sz w:val="24"/>
                <w:szCs w:val="20"/>
              </w:rPr>
            </w:pPr>
            <w:r>
              <w:rPr>
                <w:rFonts w:hint="eastAsia" w:ascii="Times New Roman" w:hAnsi="Times New Roman" w:eastAsia="黑体" w:cs="Times New Roman"/>
                <w:color w:val="000000"/>
                <w:kern w:val="0"/>
                <w:sz w:val="24"/>
                <w:szCs w:val="20"/>
              </w:rPr>
              <w:t>任务</w:t>
            </w:r>
            <w:r>
              <w:rPr>
                <w:rFonts w:ascii="Times New Roman" w:hAnsi="Times New Roman" w:eastAsia="黑体" w:cs="Times New Roman"/>
                <w:color w:val="000000"/>
                <w:kern w:val="0"/>
                <w:sz w:val="24"/>
                <w:szCs w:val="20"/>
              </w:rPr>
              <w:t>效果</w:t>
            </w:r>
          </w:p>
        </w:tc>
        <w:tc>
          <w:tcPr>
            <w:tcW w:w="4447" w:type="pct"/>
            <w:gridSpan w:val="8"/>
            <w:vAlign w:val="center"/>
          </w:tcPr>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从系统完整性、问答准确性、交互体验、代码规范率四个维度记录过程性数据；</w:t>
            </w:r>
          </w:p>
          <w:p w14:paraId="1CCDF0B2">
            <w:pPr>
              <w:spacing w:line="320" w:lineRule="exact"/>
              <w:rPr>
                <w:rFonts w:hint="eastAsia" w:ascii="Times New Roman" w:hAnsi="Times New Roman" w:eastAsia="方正仿宋_GBK" w:cs="Times New Roman"/>
                <w:kern w:val="0"/>
                <w:szCs w:val="20"/>
              </w:rPr>
            </w:pPr>
            <w:r>
              <w:rPr>
                <w:rFonts w:hint="eastAsia" w:ascii="Times New Roman" w:hAnsi="Times New Roman" w:eastAsia="方正仿宋_GBK" w:cs="Times New Roman"/>
                <w:kern w:val="0"/>
                <w:szCs w:val="20"/>
              </w:rPr>
              <w:t xml:space="preserve">开展结业综合反馈：统计8个工单成绩分布、优秀率与掉队率，对照课程目标（及格率≥92%、优秀率≥35%）评估达成度。</w:t>
            </w:r>
          </w:p>
        </w:tc>
      </w:tr>
      <w:tr w14:paraId="04E8133D">
        <w:trPr>
          <w:trHeight w:val="401" w:hRule="atLeast"/>
        </w:trPr>
        <w:tc>
          <w:tcPr>
            <w:tcW w:w="552" w:type="pct"/>
            <w:gridSpan w:val="2"/>
            <w:vAlign w:val="center"/>
          </w:tcPr>
          <w:p w14:paraId="1E61E146">
            <w:pPr>
              <w:spacing w:line="320" w:lineRule="exact"/>
              <w:jc w:val="center"/>
              <w:rPr>
                <w:rFonts w:ascii="Times New Roman" w:hAnsi="Times New Roman" w:eastAsia="黑体" w:cs="Times New Roman"/>
                <w:color w:val="000000"/>
                <w:kern w:val="0"/>
                <w:sz w:val="24"/>
                <w:szCs w:val="20"/>
              </w:rPr>
            </w:pPr>
            <w:r>
              <w:rPr>
                <w:rFonts w:ascii="Times New Roman" w:hAnsi="Times New Roman" w:eastAsia="黑体" w:cs="Times New Roman"/>
                <w:color w:val="000000"/>
                <w:kern w:val="0"/>
                <w:sz w:val="24"/>
                <w:szCs w:val="20"/>
              </w:rPr>
              <w:t>反思改进</w:t>
            </w:r>
          </w:p>
        </w:tc>
        <w:tc>
          <w:tcPr>
            <w:tcW w:w="4447" w:type="pct"/>
            <w:gridSpan w:val="8"/>
            <w:vAlign w:val="center"/>
          </w:tcPr>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汇总全课程“避坑清单”形成班级知识资产；</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为后续《Python程序设计（项目实战）》衔接梳理AI工程化知识缺口；推荐优秀学生参加1+X证书认证与企业实习。</w:t>
            </w:r>
          </w:p>
          <w:p w14:paraId="1B43008E">
            <w:pPr>
              <w:spacing w:line="320" w:lineRule="exact"/>
              <w:rPr>
                <w:rFonts w:hint="eastAsia" w:ascii="Times New Roman" w:hAnsi="Times New Roman" w:eastAsia="方正仿宋_GBK" w:cs="Times New Roman"/>
              </w:rPr>
            </w:pPr>
            <w:r>
              <w:rPr>
                <w:rFonts w:hint="eastAsia" w:ascii="Times New Roman" w:hAnsi="Times New Roman" w:eastAsia="方正仿宋_GBK" w:cs="Times New Roman"/>
              </w:rPr>
              <w:t xml:space="preserve">本周更新ABCD角色轮换表与组内贡献记录（个人问责，防搭便车）。</w:t>
            </w:r>
          </w:p>
        </w:tc>
      </w:tr>
    </w:tbl>
    <w:p w14:paraId="3D5B34EB">
      <w:pPr>
        <w:widowControl/>
        <w:jc w:val="left"/>
        <w:rPr>
          <w:rFonts w:hint="eastAsia"/>
        </w:rPr>
      </w:pPr>
    </w:p>
    <w:sectPr>
      <w:pgSz w:w="16838" w:h="11906" w:orient="landscape"/>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E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0002AFF" w:usb1="C000247B" w:usb2="00000009" w:usb3="00000000" w:csb0="200001FF" w:csb1="00000000"/>
  </w:font>
  <w:font w:name="PingFang SC">
    <w:panose1 w:val="020B0400000000000000"/>
    <w:charset w:val="86"/>
    <w:family w:val="auto"/>
    <w:pitch w:val="default"/>
    <w:sig w:usb0="A00002FF" w:usb1="7ACFFDFB" w:usb2="00000017" w:usb3="00000000" w:csb0="00040001" w:csb1="00000000"/>
  </w:font>
  <w:font w:name="SimSun">
    <w:panose1 w:val="02010600030101010101"/>
    <w:charset w:val="86"/>
    <w:family w:val="auto"/>
    <w:pitch w:val="default"/>
    <w:sig w:usb0="00000003" w:usb1="288F0000" w:usb2="00000006" w:usb3="00000000" w:csb0="00040001" w:csb1="00000000"/>
  </w:font>
  <w:font w:name="FZHei-B01">
    <w:panose1 w:val="03000509000000000000"/>
    <w:charset w:val="86"/>
    <w:family w:val="auto"/>
    <w:pitch w:val="default"/>
    <w:sig w:usb0="00000001" w:usb1="080E0000" w:usb2="00000000" w:usb3="00000000" w:csb0="00040000" w:csb1="00000000"/>
  </w:font>
  <w:font w:name="FZKai-Z03">
    <w:panose1 w:val="02000000000000000000"/>
    <w:charset w:val="86"/>
    <w:family w:val="auto"/>
    <w:pitch w:val="default"/>
    <w:sig w:usb0="800002BF" w:usb1="38CF7CFA" w:usb2="00000016" w:usb3="00000000" w:csb0="00040000" w:csb1="00000000"/>
  </w:font>
  <w:font w:name="STKaiti">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等线 Light">
    <w:altName w:val="等线"/>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
    <w:panose1 w:val="02010609060101010101"/>
    <w:charset w:val="86"/>
    <w:family w:val="modern"/>
    <w:pitch w:val="default"/>
    <w:sig w:usb0="800002BF" w:usb1="38CF7CFA" w:usb2="00000016" w:usb3="00000000" w:csb0="00040001" w:csb1="00000000"/>
  </w:font>
  <w:font w:name="方正仿宋_GBK">
    <w:panose1 w:val="02000000000000000000"/>
    <w:charset w:val="86"/>
    <w:family w:val="script"/>
    <w:pitch w:val="default"/>
    <w:sig w:usb0="A00002BF" w:usb1="38CF7CFA" w:usb2="00082016" w:usb3="00000000" w:csb0="00040001" w:csb1="00000000"/>
  </w:font>
  <w:font w:name="微软雅黑">
    <w:panose1 w:val="020B0502040204020203"/>
    <w:charset w:val="86"/>
    <w:family w:val="swiss"/>
    <w:pitch w:val="default"/>
    <w:sig w:usb0="80000287" w:usb1="2ACF0010" w:usb2="00000016" w:usb3="00000000" w:csb0="0004001F" w:csb1="00000000"/>
  </w:font>
  <w:font w:name="NotoSerifSC-ExtraLigh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等线 Light">
    <w:altName w:val="等线"/>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72B0F"/>
    <w:multiLevelType w:val="singleLevel"/>
    <w:tmpl w:val="96B72B0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38B"/>
    <w:rsid w:val="000167F0"/>
    <w:rsid w:val="00021B09"/>
    <w:rsid w:val="00031809"/>
    <w:rsid w:val="000358CE"/>
    <w:rsid w:val="00045CC0"/>
    <w:rsid w:val="000501DD"/>
    <w:rsid w:val="00050E57"/>
    <w:rsid w:val="0005127A"/>
    <w:rsid w:val="00052B64"/>
    <w:rsid w:val="0005324A"/>
    <w:rsid w:val="00060D34"/>
    <w:rsid w:val="00064857"/>
    <w:rsid w:val="0007661E"/>
    <w:rsid w:val="00076D98"/>
    <w:rsid w:val="000804A7"/>
    <w:rsid w:val="000A0F90"/>
    <w:rsid w:val="000B6FB3"/>
    <w:rsid w:val="000C3DEC"/>
    <w:rsid w:val="000E399B"/>
    <w:rsid w:val="000F20AD"/>
    <w:rsid w:val="000F5F18"/>
    <w:rsid w:val="001006E7"/>
    <w:rsid w:val="001008D0"/>
    <w:rsid w:val="001074A9"/>
    <w:rsid w:val="00107595"/>
    <w:rsid w:val="00113B3D"/>
    <w:rsid w:val="00121A09"/>
    <w:rsid w:val="001254D7"/>
    <w:rsid w:val="00125883"/>
    <w:rsid w:val="001420A5"/>
    <w:rsid w:val="001510A1"/>
    <w:rsid w:val="001524DD"/>
    <w:rsid w:val="00153078"/>
    <w:rsid w:val="00160684"/>
    <w:rsid w:val="00193BCD"/>
    <w:rsid w:val="00195912"/>
    <w:rsid w:val="001D0C11"/>
    <w:rsid w:val="001D6331"/>
    <w:rsid w:val="001E09EE"/>
    <w:rsid w:val="00200968"/>
    <w:rsid w:val="002108D8"/>
    <w:rsid w:val="002118B8"/>
    <w:rsid w:val="00226AB2"/>
    <w:rsid w:val="002306CB"/>
    <w:rsid w:val="002368A2"/>
    <w:rsid w:val="00240CB1"/>
    <w:rsid w:val="00244D10"/>
    <w:rsid w:val="00257426"/>
    <w:rsid w:val="00257575"/>
    <w:rsid w:val="00263FDD"/>
    <w:rsid w:val="002759EA"/>
    <w:rsid w:val="00287F20"/>
    <w:rsid w:val="00293BD6"/>
    <w:rsid w:val="00295429"/>
    <w:rsid w:val="002A3BEC"/>
    <w:rsid w:val="002A67BE"/>
    <w:rsid w:val="002C52E5"/>
    <w:rsid w:val="002D18DA"/>
    <w:rsid w:val="002D4580"/>
    <w:rsid w:val="002D50B1"/>
    <w:rsid w:val="002E505B"/>
    <w:rsid w:val="002F273C"/>
    <w:rsid w:val="003433D3"/>
    <w:rsid w:val="00350460"/>
    <w:rsid w:val="00357AA4"/>
    <w:rsid w:val="003622E8"/>
    <w:rsid w:val="00367CB9"/>
    <w:rsid w:val="003775F7"/>
    <w:rsid w:val="00381764"/>
    <w:rsid w:val="0038185C"/>
    <w:rsid w:val="00386868"/>
    <w:rsid w:val="003934D3"/>
    <w:rsid w:val="0039537A"/>
    <w:rsid w:val="003A2C9D"/>
    <w:rsid w:val="003C1E77"/>
    <w:rsid w:val="003D2E12"/>
    <w:rsid w:val="003F0A6F"/>
    <w:rsid w:val="004115D7"/>
    <w:rsid w:val="00411E48"/>
    <w:rsid w:val="004120DC"/>
    <w:rsid w:val="00420DD1"/>
    <w:rsid w:val="00433F50"/>
    <w:rsid w:val="00434781"/>
    <w:rsid w:val="00445198"/>
    <w:rsid w:val="0045118E"/>
    <w:rsid w:val="004512B4"/>
    <w:rsid w:val="004523A6"/>
    <w:rsid w:val="00473656"/>
    <w:rsid w:val="004B37DE"/>
    <w:rsid w:val="004C1240"/>
    <w:rsid w:val="004C5126"/>
    <w:rsid w:val="004E0C7C"/>
    <w:rsid w:val="004E59BB"/>
    <w:rsid w:val="004F4211"/>
    <w:rsid w:val="00506B60"/>
    <w:rsid w:val="005079A2"/>
    <w:rsid w:val="005131CF"/>
    <w:rsid w:val="00514BB0"/>
    <w:rsid w:val="00520019"/>
    <w:rsid w:val="005207C4"/>
    <w:rsid w:val="005212E3"/>
    <w:rsid w:val="00522829"/>
    <w:rsid w:val="0053171B"/>
    <w:rsid w:val="00547DEE"/>
    <w:rsid w:val="00553257"/>
    <w:rsid w:val="00553596"/>
    <w:rsid w:val="00556C43"/>
    <w:rsid w:val="005601CA"/>
    <w:rsid w:val="00561226"/>
    <w:rsid w:val="00565CC8"/>
    <w:rsid w:val="005669E1"/>
    <w:rsid w:val="00575A22"/>
    <w:rsid w:val="0058230C"/>
    <w:rsid w:val="00582BC4"/>
    <w:rsid w:val="0058440F"/>
    <w:rsid w:val="005844B9"/>
    <w:rsid w:val="00592176"/>
    <w:rsid w:val="00596DC0"/>
    <w:rsid w:val="005A7079"/>
    <w:rsid w:val="005D084B"/>
    <w:rsid w:val="005E1584"/>
    <w:rsid w:val="005F7000"/>
    <w:rsid w:val="006068D3"/>
    <w:rsid w:val="006119C2"/>
    <w:rsid w:val="00614670"/>
    <w:rsid w:val="006579DB"/>
    <w:rsid w:val="006628BD"/>
    <w:rsid w:val="00670286"/>
    <w:rsid w:val="00694DF8"/>
    <w:rsid w:val="006A234A"/>
    <w:rsid w:val="006A50C9"/>
    <w:rsid w:val="006A7A78"/>
    <w:rsid w:val="006B5173"/>
    <w:rsid w:val="006D5300"/>
    <w:rsid w:val="006E3BCC"/>
    <w:rsid w:val="007041A5"/>
    <w:rsid w:val="00716C5F"/>
    <w:rsid w:val="00721D75"/>
    <w:rsid w:val="007246CA"/>
    <w:rsid w:val="0074080C"/>
    <w:rsid w:val="0074296E"/>
    <w:rsid w:val="00747DFB"/>
    <w:rsid w:val="007537F0"/>
    <w:rsid w:val="00767EDF"/>
    <w:rsid w:val="00785A08"/>
    <w:rsid w:val="007A4666"/>
    <w:rsid w:val="007B47D7"/>
    <w:rsid w:val="007B4AF7"/>
    <w:rsid w:val="007C3A41"/>
    <w:rsid w:val="007C53FE"/>
    <w:rsid w:val="007D2F1E"/>
    <w:rsid w:val="007E0C75"/>
    <w:rsid w:val="007F06D6"/>
    <w:rsid w:val="007F680F"/>
    <w:rsid w:val="00811CF0"/>
    <w:rsid w:val="0084648A"/>
    <w:rsid w:val="0085638B"/>
    <w:rsid w:val="00867E8F"/>
    <w:rsid w:val="00877062"/>
    <w:rsid w:val="00885165"/>
    <w:rsid w:val="00890020"/>
    <w:rsid w:val="008947C9"/>
    <w:rsid w:val="008C5AA6"/>
    <w:rsid w:val="008D1490"/>
    <w:rsid w:val="008D2D59"/>
    <w:rsid w:val="008E14EC"/>
    <w:rsid w:val="00900B62"/>
    <w:rsid w:val="00910D1A"/>
    <w:rsid w:val="009112CC"/>
    <w:rsid w:val="00917345"/>
    <w:rsid w:val="009211B2"/>
    <w:rsid w:val="00925119"/>
    <w:rsid w:val="00925276"/>
    <w:rsid w:val="009301E7"/>
    <w:rsid w:val="009458BA"/>
    <w:rsid w:val="00955E00"/>
    <w:rsid w:val="00976FB9"/>
    <w:rsid w:val="009840F7"/>
    <w:rsid w:val="0099406B"/>
    <w:rsid w:val="009A7E67"/>
    <w:rsid w:val="009B4CBE"/>
    <w:rsid w:val="009D2681"/>
    <w:rsid w:val="009D3DCF"/>
    <w:rsid w:val="009D464F"/>
    <w:rsid w:val="009D72E0"/>
    <w:rsid w:val="009E2E03"/>
    <w:rsid w:val="009F08AE"/>
    <w:rsid w:val="00A03A3D"/>
    <w:rsid w:val="00A14878"/>
    <w:rsid w:val="00A16369"/>
    <w:rsid w:val="00A16753"/>
    <w:rsid w:val="00A2130A"/>
    <w:rsid w:val="00A31B67"/>
    <w:rsid w:val="00A33AD0"/>
    <w:rsid w:val="00A46084"/>
    <w:rsid w:val="00A50698"/>
    <w:rsid w:val="00A520C7"/>
    <w:rsid w:val="00A70EE8"/>
    <w:rsid w:val="00A75A38"/>
    <w:rsid w:val="00A812EE"/>
    <w:rsid w:val="00A832DB"/>
    <w:rsid w:val="00A87010"/>
    <w:rsid w:val="00A94D1A"/>
    <w:rsid w:val="00AB4AF5"/>
    <w:rsid w:val="00AB54AF"/>
    <w:rsid w:val="00B02AE0"/>
    <w:rsid w:val="00B073FA"/>
    <w:rsid w:val="00B1608B"/>
    <w:rsid w:val="00B26692"/>
    <w:rsid w:val="00B33010"/>
    <w:rsid w:val="00B43EB8"/>
    <w:rsid w:val="00B468CE"/>
    <w:rsid w:val="00B65FB4"/>
    <w:rsid w:val="00B73850"/>
    <w:rsid w:val="00B910B5"/>
    <w:rsid w:val="00BA1348"/>
    <w:rsid w:val="00BB4B2E"/>
    <w:rsid w:val="00BB4CA1"/>
    <w:rsid w:val="00BB5E8D"/>
    <w:rsid w:val="00BB5FDB"/>
    <w:rsid w:val="00BC2F32"/>
    <w:rsid w:val="00BC6515"/>
    <w:rsid w:val="00BC6908"/>
    <w:rsid w:val="00BE30F6"/>
    <w:rsid w:val="00BF0E49"/>
    <w:rsid w:val="00BF4D95"/>
    <w:rsid w:val="00C031F2"/>
    <w:rsid w:val="00C20822"/>
    <w:rsid w:val="00C21698"/>
    <w:rsid w:val="00C23430"/>
    <w:rsid w:val="00C25401"/>
    <w:rsid w:val="00C308FB"/>
    <w:rsid w:val="00C34A2C"/>
    <w:rsid w:val="00C418CD"/>
    <w:rsid w:val="00C41D5C"/>
    <w:rsid w:val="00C42412"/>
    <w:rsid w:val="00C5307C"/>
    <w:rsid w:val="00C62C5A"/>
    <w:rsid w:val="00C65B03"/>
    <w:rsid w:val="00C722F8"/>
    <w:rsid w:val="00C8307B"/>
    <w:rsid w:val="00C920CB"/>
    <w:rsid w:val="00C95696"/>
    <w:rsid w:val="00CC3978"/>
    <w:rsid w:val="00CC44BC"/>
    <w:rsid w:val="00CE25A0"/>
    <w:rsid w:val="00CE53D7"/>
    <w:rsid w:val="00CF03A7"/>
    <w:rsid w:val="00CF0E49"/>
    <w:rsid w:val="00CF6FF9"/>
    <w:rsid w:val="00D03100"/>
    <w:rsid w:val="00D25D0E"/>
    <w:rsid w:val="00D33B6C"/>
    <w:rsid w:val="00D353A2"/>
    <w:rsid w:val="00D43776"/>
    <w:rsid w:val="00D51171"/>
    <w:rsid w:val="00D52C07"/>
    <w:rsid w:val="00D6421E"/>
    <w:rsid w:val="00D7221C"/>
    <w:rsid w:val="00D733F1"/>
    <w:rsid w:val="00DA69A4"/>
    <w:rsid w:val="00DB3092"/>
    <w:rsid w:val="00DB7774"/>
    <w:rsid w:val="00DE3011"/>
    <w:rsid w:val="00DE3FFA"/>
    <w:rsid w:val="00DE67FC"/>
    <w:rsid w:val="00DF74F1"/>
    <w:rsid w:val="00E1094C"/>
    <w:rsid w:val="00E14BCA"/>
    <w:rsid w:val="00E1660D"/>
    <w:rsid w:val="00E214DB"/>
    <w:rsid w:val="00E232D9"/>
    <w:rsid w:val="00E24123"/>
    <w:rsid w:val="00E313B4"/>
    <w:rsid w:val="00E366D6"/>
    <w:rsid w:val="00E40512"/>
    <w:rsid w:val="00E51756"/>
    <w:rsid w:val="00E57A4D"/>
    <w:rsid w:val="00E646FD"/>
    <w:rsid w:val="00E67EE0"/>
    <w:rsid w:val="00E76D1E"/>
    <w:rsid w:val="00E81E1E"/>
    <w:rsid w:val="00E8227C"/>
    <w:rsid w:val="00E92DB1"/>
    <w:rsid w:val="00EA350D"/>
    <w:rsid w:val="00EB3A3B"/>
    <w:rsid w:val="00EB6360"/>
    <w:rsid w:val="00EC3533"/>
    <w:rsid w:val="00EC38A5"/>
    <w:rsid w:val="00EC3C34"/>
    <w:rsid w:val="00EC6B56"/>
    <w:rsid w:val="00EE0128"/>
    <w:rsid w:val="00EF56D5"/>
    <w:rsid w:val="00F02449"/>
    <w:rsid w:val="00F0308C"/>
    <w:rsid w:val="00F15AAC"/>
    <w:rsid w:val="00F373E8"/>
    <w:rsid w:val="00F5256F"/>
    <w:rsid w:val="00F61424"/>
    <w:rsid w:val="00F70F86"/>
    <w:rsid w:val="00F824B8"/>
    <w:rsid w:val="00F84F9E"/>
    <w:rsid w:val="00F860C6"/>
    <w:rsid w:val="00F864B7"/>
    <w:rsid w:val="00FA41BA"/>
    <w:rsid w:val="00FA52BA"/>
    <w:rsid w:val="00FB03AF"/>
    <w:rsid w:val="00FB6C58"/>
    <w:rsid w:val="00FC10B1"/>
    <w:rsid w:val="00FE4265"/>
    <w:rsid w:val="00FE7A38"/>
    <w:rsid w:val="01C61F4A"/>
    <w:rsid w:val="02013645"/>
    <w:rsid w:val="03A65B92"/>
    <w:rsid w:val="03D97231"/>
    <w:rsid w:val="06C375D1"/>
    <w:rsid w:val="07DD8331"/>
    <w:rsid w:val="08B33959"/>
    <w:rsid w:val="0C7D22B4"/>
    <w:rsid w:val="0D324647"/>
    <w:rsid w:val="0EB130ED"/>
    <w:rsid w:val="0F9C0377"/>
    <w:rsid w:val="13D02C02"/>
    <w:rsid w:val="16C6374A"/>
    <w:rsid w:val="1C144A83"/>
    <w:rsid w:val="1EFA9236"/>
    <w:rsid w:val="22BB548D"/>
    <w:rsid w:val="26C97FF4"/>
    <w:rsid w:val="26E24F00"/>
    <w:rsid w:val="28784840"/>
    <w:rsid w:val="2F7D75E9"/>
    <w:rsid w:val="35523A2F"/>
    <w:rsid w:val="3DDF66B0"/>
    <w:rsid w:val="41ED448D"/>
    <w:rsid w:val="428611BC"/>
    <w:rsid w:val="438C104B"/>
    <w:rsid w:val="46295492"/>
    <w:rsid w:val="4F585C8E"/>
    <w:rsid w:val="4F865A23"/>
    <w:rsid w:val="505A77E4"/>
    <w:rsid w:val="51433511"/>
    <w:rsid w:val="51F2411D"/>
    <w:rsid w:val="51F262CF"/>
    <w:rsid w:val="521F0CE5"/>
    <w:rsid w:val="526F3A1A"/>
    <w:rsid w:val="537A78FC"/>
    <w:rsid w:val="581A61D6"/>
    <w:rsid w:val="583152CE"/>
    <w:rsid w:val="5BF10504"/>
    <w:rsid w:val="5CF03729"/>
    <w:rsid w:val="5EDE6F22"/>
    <w:rsid w:val="5FEB2B79"/>
    <w:rsid w:val="5FFF8CA6"/>
    <w:rsid w:val="603C74D7"/>
    <w:rsid w:val="61F9349B"/>
    <w:rsid w:val="6381495B"/>
    <w:rsid w:val="66CD6B09"/>
    <w:rsid w:val="67ED1D53"/>
    <w:rsid w:val="68552CA8"/>
    <w:rsid w:val="68947D20"/>
    <w:rsid w:val="6945700A"/>
    <w:rsid w:val="6B454EC0"/>
    <w:rsid w:val="6D5D0BE7"/>
    <w:rsid w:val="6DE34429"/>
    <w:rsid w:val="71FC02A3"/>
    <w:rsid w:val="72E50CCC"/>
    <w:rsid w:val="787E51F4"/>
    <w:rsid w:val="7BAE95EA"/>
    <w:rsid w:val="7C4F4D89"/>
    <w:rsid w:val="7E1352F2"/>
    <w:rsid w:val="7E7FFCBA"/>
    <w:rsid w:val="7ECD2539"/>
    <w:rsid w:val="7F5F92F5"/>
    <w:rsid w:val="7F8518D8"/>
    <w:rsid w:val="7FFB82CF"/>
    <w:rsid w:val="97DBF7B5"/>
    <w:rsid w:val="A2C7BF36"/>
    <w:rsid w:val="BFEF8E5A"/>
    <w:rsid w:val="DF6F55F3"/>
    <w:rsid w:val="DFFF7AF6"/>
    <w:rsid w:val="E3EE5F78"/>
    <w:rsid w:val="EE8EE954"/>
    <w:rsid w:val="F273C6F0"/>
    <w:rsid w:val="F7CF635A"/>
    <w:rsid w:val="FBBF7355"/>
    <w:rsid w:val="FF3F9218"/>
    <w:rsid w:val="FF8FA188"/>
    <w:rsid w:val="FFF9B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7"/>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6"/>
    <w:unhideWhenUsed/>
    <w:qFormat/>
    <w:uiPriority w:val="99"/>
    <w:pPr>
      <w:jc w:val="left"/>
    </w:pPr>
  </w:style>
  <w:style w:type="paragraph" w:styleId="12">
    <w:name w:val="Body Text"/>
    <w:basedOn w:val="1"/>
    <w:link w:val="42"/>
    <w:unhideWhenUsed/>
    <w:qFormat/>
    <w:uiPriority w:val="99"/>
    <w:pPr>
      <w:spacing w:after="120"/>
    </w:pPr>
    <w:rPr>
      <w:szCs w:val="24"/>
    </w:rPr>
  </w:style>
  <w:style w:type="paragraph" w:styleId="13">
    <w:name w:val="footer"/>
    <w:basedOn w:val="1"/>
    <w:link w:val="41"/>
    <w:unhideWhenUsed/>
    <w:uiPriority w:val="99"/>
    <w:pPr>
      <w:tabs>
        <w:tab w:val="center" w:pos="4153"/>
        <w:tab w:val="right" w:pos="8306"/>
      </w:tabs>
      <w:snapToGrid w:val="0"/>
      <w:jc w:val="left"/>
    </w:pPr>
    <w:rPr>
      <w:sz w:val="18"/>
      <w:szCs w:val="18"/>
    </w:rPr>
  </w:style>
  <w:style w:type="paragraph" w:styleId="14">
    <w:name w:val="header"/>
    <w:basedOn w:val="1"/>
    <w:link w:val="40"/>
    <w:unhideWhenUsed/>
    <w:uiPriority w:val="99"/>
    <w:pPr>
      <w:tabs>
        <w:tab w:val="center" w:pos="4153"/>
        <w:tab w:val="right" w:pos="8306"/>
      </w:tabs>
      <w:snapToGrid w:val="0"/>
      <w:jc w:val="center"/>
    </w:pPr>
    <w:rPr>
      <w:sz w:val="18"/>
      <w:szCs w:val="18"/>
    </w:rPr>
  </w:style>
  <w:style w:type="paragraph" w:styleId="15">
    <w:name w:val="Subtitle"/>
    <w:basedOn w:val="1"/>
    <w:next w:val="1"/>
    <w:link w:val="3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1"/>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7"/>
    <w:unhideWhenUsed/>
    <w:uiPriority w:val="99"/>
    <w:rPr>
      <w:b/>
      <w:bCs/>
    </w:rPr>
  </w:style>
  <w:style w:type="table" w:styleId="19">
    <w:name w:val="Table Gri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1">
    <w:name w:val="annotation reference"/>
    <w:basedOn w:val="20"/>
    <w:unhideWhenUsed/>
    <w:uiPriority w:val="99"/>
    <w:rPr>
      <w:sz w:val="21"/>
      <w:szCs w:val="21"/>
    </w:rPr>
  </w:style>
  <w:style w:type="character" w:customStyle="1" w:styleId="22">
    <w:name w:val="标题 1 字符"/>
    <w:basedOn w:val="20"/>
    <w:link w:val="2"/>
    <w:uiPriority w:val="9"/>
    <w:rPr>
      <w:rFonts w:asciiTheme="majorHAnsi" w:hAnsiTheme="majorHAnsi" w:eastAsiaTheme="majorEastAsia" w:cstheme="majorBidi"/>
      <w:color w:val="2F5597" w:themeColor="accent1" w:themeShade="BF"/>
      <w:sz w:val="48"/>
      <w:szCs w:val="48"/>
    </w:rPr>
  </w:style>
  <w:style w:type="character" w:customStyle="1" w:styleId="23">
    <w:name w:val="标题 2 字符"/>
    <w:basedOn w:val="20"/>
    <w:link w:val="3"/>
    <w:semiHidden/>
    <w:uiPriority w:val="9"/>
    <w:rPr>
      <w:rFonts w:asciiTheme="majorHAnsi" w:hAnsiTheme="majorHAnsi" w:eastAsiaTheme="majorEastAsia" w:cstheme="majorBidi"/>
      <w:color w:val="2F5597" w:themeColor="accent1" w:themeShade="BF"/>
      <w:sz w:val="40"/>
      <w:szCs w:val="40"/>
    </w:rPr>
  </w:style>
  <w:style w:type="character" w:customStyle="1" w:styleId="24">
    <w:name w:val="标题 3 字符"/>
    <w:basedOn w:val="20"/>
    <w:link w:val="4"/>
    <w:semiHidden/>
    <w:uiPriority w:val="9"/>
    <w:rPr>
      <w:rFonts w:asciiTheme="majorHAnsi" w:hAnsiTheme="majorHAnsi" w:eastAsiaTheme="majorEastAsia" w:cstheme="majorBidi"/>
      <w:color w:val="2F5597" w:themeColor="accent1" w:themeShade="BF"/>
      <w:sz w:val="32"/>
      <w:szCs w:val="32"/>
    </w:rPr>
  </w:style>
  <w:style w:type="character" w:customStyle="1" w:styleId="25">
    <w:name w:val="标题 4 字符"/>
    <w:basedOn w:val="20"/>
    <w:link w:val="5"/>
    <w:semiHidden/>
    <w:uiPriority w:val="9"/>
    <w:rPr>
      <w:rFonts w:cstheme="majorBidi"/>
      <w:color w:val="2F5597" w:themeColor="accent1" w:themeShade="BF"/>
      <w:sz w:val="28"/>
      <w:szCs w:val="28"/>
    </w:rPr>
  </w:style>
  <w:style w:type="character" w:customStyle="1" w:styleId="26">
    <w:name w:val="标题 5 字符"/>
    <w:basedOn w:val="20"/>
    <w:link w:val="6"/>
    <w:semiHidden/>
    <w:uiPriority w:val="9"/>
    <w:rPr>
      <w:rFonts w:cstheme="majorBidi"/>
      <w:color w:val="2F5597" w:themeColor="accent1" w:themeShade="BF"/>
      <w:sz w:val="24"/>
      <w:szCs w:val="24"/>
    </w:rPr>
  </w:style>
  <w:style w:type="character" w:customStyle="1" w:styleId="27">
    <w:name w:val="标题 6 字符"/>
    <w:basedOn w:val="20"/>
    <w:link w:val="7"/>
    <w:semiHidden/>
    <w:uiPriority w:val="9"/>
    <w:rPr>
      <w:rFonts w:cstheme="majorBidi"/>
      <w:b/>
      <w:bCs/>
      <w:color w:val="2F5597" w:themeColor="accent1" w:themeShade="BF"/>
    </w:rPr>
  </w:style>
  <w:style w:type="character" w:customStyle="1" w:styleId="28">
    <w:name w:val="标题 7 字符"/>
    <w:basedOn w:val="20"/>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20"/>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20"/>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20"/>
    <w:link w:val="16"/>
    <w:uiPriority w:val="10"/>
    <w:rPr>
      <w:rFonts w:asciiTheme="majorHAnsi" w:hAnsiTheme="majorHAnsi" w:eastAsiaTheme="majorEastAsia" w:cstheme="majorBidi"/>
      <w:spacing w:val="-10"/>
      <w:kern w:val="28"/>
      <w:sz w:val="56"/>
      <w:szCs w:val="56"/>
    </w:rPr>
  </w:style>
  <w:style w:type="character" w:customStyle="1" w:styleId="32">
    <w:name w:val="副标题 字符"/>
    <w:basedOn w:val="20"/>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20"/>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明显强调1"/>
    <w:basedOn w:val="20"/>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20"/>
    <w:link w:val="37"/>
    <w:qFormat/>
    <w:uiPriority w:val="30"/>
    <w:rPr>
      <w:i/>
      <w:iCs/>
      <w:color w:val="2F5597" w:themeColor="accent1" w:themeShade="BF"/>
    </w:rPr>
  </w:style>
  <w:style w:type="character" w:customStyle="1" w:styleId="39">
    <w:name w:val="明显参考1"/>
    <w:basedOn w:val="20"/>
    <w:qFormat/>
    <w:uiPriority w:val="32"/>
    <w:rPr>
      <w:b/>
      <w:bCs/>
      <w:smallCaps/>
      <w:color w:val="2F5597" w:themeColor="accent1" w:themeShade="BF"/>
      <w:spacing w:val="5"/>
    </w:rPr>
  </w:style>
  <w:style w:type="character" w:customStyle="1" w:styleId="40">
    <w:name w:val="页眉 字符"/>
    <w:basedOn w:val="20"/>
    <w:link w:val="14"/>
    <w:qFormat/>
    <w:uiPriority w:val="99"/>
    <w:rPr>
      <w:sz w:val="18"/>
      <w:szCs w:val="18"/>
    </w:rPr>
  </w:style>
  <w:style w:type="character" w:customStyle="1" w:styleId="41">
    <w:name w:val="页脚 字符"/>
    <w:basedOn w:val="20"/>
    <w:link w:val="13"/>
    <w:uiPriority w:val="99"/>
    <w:rPr>
      <w:sz w:val="18"/>
      <w:szCs w:val="18"/>
    </w:rPr>
  </w:style>
  <w:style w:type="character" w:customStyle="1" w:styleId="42">
    <w:name w:val="正文文本 字符"/>
    <w:basedOn w:val="20"/>
    <w:link w:val="12"/>
    <w:uiPriority w:val="99"/>
    <w:rPr>
      <w:szCs w:val="24"/>
    </w:rPr>
  </w:style>
  <w:style w:type="table" w:customStyle="1" w:styleId="43">
    <w:name w:val="网格型2"/>
    <w:qFormat/>
    <w:uiPriority w:val="39"/>
    <w:pPr>
      <w:spacing w:after="160" w:line="276"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44">
    <w:name w:val="网格型4"/>
    <w:qFormat/>
    <w:uiPriority w:val="39"/>
    <w:pPr>
      <w:spacing w:after="160" w:line="276"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table" w:customStyle="1" w:styleId="45">
    <w:name w:val="网格型5"/>
    <w:basedOn w:val="18"/>
    <w:autoRedefine/>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批注文字 字符"/>
    <w:basedOn w:val="20"/>
    <w:link w:val="11"/>
    <w:uiPriority w:val="99"/>
  </w:style>
  <w:style w:type="character" w:customStyle="1" w:styleId="47">
    <w:name w:val="批注主题 字符"/>
    <w:basedOn w:val="46"/>
    <w:link w:val="17"/>
    <w:uiPriority w:val="99"/>
    <w:rPr>
      <w:b/>
      <w:bCs/>
    </w:rPr>
  </w:style>
  <w:style w:type="paragraph" w:customStyle="1" w:styleId="48">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table" w:customStyle="1" w:styleId="49">
    <w:name w:val="网格型1"/>
    <w:qFormat/>
    <w:uiPriority w:val="39"/>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41B76041-215C-4C37-8F92-197B179667E1}">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172</Words>
  <Characters>212</Characters>
  <Lines>18</Lines>
  <Paragraphs>5</Paragraphs>
  <TotalTime>1</TotalTime>
  <ScaleCrop>false</ScaleCrop>
  <LinksUpToDate>false</LinksUpToDate>
  <CharactersWithSpaces>216</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2025-08-12T14:58:00Z</dcterms:created>
  <dc:creator>璐 张</dc:creator>
  <cp:lastModifiedBy>天琼恩泽</cp:lastModifiedBy>
  <cp:lastPrinted>2025-07-03T18:25:00Z</cp:lastPrinted>
  <dcterms:modified xsi:type="dcterms:W3CDTF">2026-08-16T11:43:06Z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eyJoZGlkIjoiY2QyMDRjOGQ3NzQ2NWRiNmI1MjVmODZjYzEzNDBhOWQiLCJ1c2VySWQiOiIyNDAzNTIzMSJ9</vt:lpwstr>
  </property>
  <property fmtid="{D5CDD505-2E9C-101B-9397-08002B2CF9AE}" pid="3" name="KSOProductBuildVer">
    <vt:lpwstr>2052-12.1.26055.26055</vt:lpwstr>
  </property>
  <property fmtid="{D5CDD505-2E9C-101B-9397-08002B2CF9AE}" pid="4" name="ICV">
    <vt:lpwstr>C57A3DEA73AA7786CA31816A105AF912_43</vt:lpwstr>
  </property>
</Properties>
</file>