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429FD10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  <w:lang w:val="en-US" w:eastAsia="zh-CN"/>
        </w:rPr>
        <w:t>重庆现代制造职业</w:t>
      </w:r>
      <w:r>
        <w:rPr>
          <w:rFonts w:hint="eastAsia" w:ascii="等线" w:hAnsi="等线" w:eastAsia="黑体" w:cs="Times New Roman"/>
          <w:b/>
          <w:bCs/>
          <w:sz w:val="52"/>
          <w:szCs w:val="52"/>
        </w:rPr>
        <w:t>学院</w:t>
      </w:r>
    </w:p>
    <w:p w14:paraId="29DDFA59">
      <w:pPr>
        <w:jc w:val="center"/>
        <w:rPr>
          <w:rFonts w:hint="eastAsia" w:ascii="等线" w:hAnsi="等线" w:eastAsia="黑体" w:cs="Times New Roman"/>
          <w:b/>
          <w:bCs/>
          <w:sz w:val="52"/>
          <w:szCs w:val="52"/>
        </w:rPr>
      </w:pPr>
      <w:r>
        <w:rPr>
          <w:rFonts w:hint="eastAsia" w:ascii="等线" w:hAnsi="等线" w:eastAsia="黑体" w:cs="Times New Roman"/>
          <w:b/>
          <w:bCs/>
          <w:sz w:val="52"/>
          <w:szCs w:val="52"/>
        </w:rPr>
        <w:t>课程教学设计</w:t>
      </w:r>
    </w:p>
    <w:tbl>
      <w:tblPr>
        <w:tblStyle w:val="19"/>
        <w:tblpPr w:leftFromText="180" w:rightFromText="180" w:vertAnchor="text" w:horzAnchor="page" w:tblpXSpec="center" w:tblpY="460"/>
        <w:tblOverlap w:val="never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5"/>
        <w:gridCol w:w="8189"/>
      </w:tblGrid>
      <w:tr w14:paraId="16B1E18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3D9F043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开课学院</w:t>
            </w:r>
          </w:p>
        </w:tc>
        <w:tc>
          <w:tcPr>
            <w:tcW w:w="8189" w:type="dxa"/>
            <w:vAlign w:val="center"/>
          </w:tcPr>
          <w:p w14:paraId="1AE32291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智能控制学院</w:t>
            </w:r>
          </w:p>
        </w:tc>
      </w:tr>
      <w:tr w14:paraId="47148ADC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825B260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课程名称</w:t>
            </w:r>
          </w:p>
        </w:tc>
        <w:tc>
          <w:tcPr>
            <w:tcW w:w="8189" w:type="dxa"/>
            <w:vAlign w:val="center"/>
          </w:tcPr>
          <w:p w14:paraId="6938E776">
            <w:pPr>
              <w:widowControl/>
              <w:jc w:val="center"/>
              <w:rPr>
                <w:rFonts w:hint="default" w:ascii="黑体" w:hAnsi="黑体" w:eastAsia="黑体" w:cs="Times New Roman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Python程序设计</w:t>
            </w:r>
          </w:p>
        </w:tc>
      </w:tr>
      <w:tr w14:paraId="3D074D3E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1326D192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学习情境</w:t>
            </w:r>
          </w:p>
        </w:tc>
        <w:tc>
          <w:tcPr>
            <w:tcW w:w="8189" w:type="dxa"/>
            <w:vAlign w:val="center"/>
          </w:tcPr>
          <w:p w14:paraId="5342997E">
            <w:pPr>
              <w:widowControl/>
              <w:jc w:val="center"/>
              <w:rPr>
                <w:rFonts w:hint="eastAsia" w:ascii="黑体" w:hAnsi="黑体" w:eastAsia="黑体" w:cs="Times New Roman"/>
                <w:b/>
                <w:bCs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sz w:val="32"/>
                <w:szCs w:val="32"/>
                <w:lang w:val="en-US" w:eastAsia="zh-CN"/>
              </w:rPr>
              <w:t>LS3.3: Python工程项目实战与系统交付</w:t>
            </w:r>
          </w:p>
        </w:tc>
      </w:tr>
      <w:tr w14:paraId="65ECD866">
        <w:trPr>
          <w:trHeight w:val="132" w:hRule="atLeast"/>
          <w:jc w:val="center"/>
        </w:trPr>
        <w:tc>
          <w:tcPr>
            <w:tcW w:w="3005" w:type="dxa"/>
            <w:vAlign w:val="center"/>
          </w:tcPr>
          <w:p w14:paraId="4C6F66A5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学习领域</w:t>
            </w:r>
          </w:p>
        </w:tc>
        <w:tc>
          <w:tcPr>
            <w:tcW w:w="8189" w:type="dxa"/>
            <w:vAlign w:val="center"/>
          </w:tcPr>
          <w:p w14:paraId="68C197E3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0"/>
                <w:szCs w:val="30"/>
              </w:rPr>
              <w:t>LF3: 工业互联网数据分析与智能应用</w:t>
            </w:r>
          </w:p>
        </w:tc>
      </w:tr>
      <w:tr w14:paraId="628CB86A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365D99A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授课学期</w:t>
            </w:r>
          </w:p>
        </w:tc>
        <w:tc>
          <w:tcPr>
            <w:tcW w:w="8189" w:type="dxa"/>
            <w:vAlign w:val="center"/>
          </w:tcPr>
          <w:p w14:paraId="3FDB7E65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2026 - 2027 学年第二学期</w:t>
            </w:r>
          </w:p>
        </w:tc>
      </w:tr>
      <w:tr w14:paraId="33C0FCE2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4B8B9E8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授课教师</w:t>
            </w:r>
          </w:p>
        </w:tc>
        <w:tc>
          <w:tcPr>
            <w:tcW w:w="8189" w:type="dxa"/>
            <w:vAlign w:val="center"/>
          </w:tcPr>
          <w:p w14:paraId="464DDA6A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>宫宇伟</w:t>
            </w:r>
            <w:bookmarkStart w:id="5" w:name="_GoBack"/>
            <w:bookmarkEnd w:id="5"/>
          </w:p>
        </w:tc>
      </w:tr>
      <w:tr w14:paraId="325732AD">
        <w:trPr>
          <w:trHeight w:val="85" w:hRule="atLeast"/>
          <w:jc w:val="center"/>
        </w:trPr>
        <w:tc>
          <w:tcPr>
            <w:tcW w:w="3005" w:type="dxa"/>
            <w:vAlign w:val="center"/>
          </w:tcPr>
          <w:p w14:paraId="0DB244EB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授课专业及班级</w:t>
            </w:r>
          </w:p>
        </w:tc>
        <w:tc>
          <w:tcPr>
            <w:tcW w:w="8189" w:type="dxa"/>
            <w:vAlign w:val="center"/>
          </w:tcPr>
          <w:p w14:paraId="0B0AA48C">
            <w:pPr>
              <w:widowControl/>
              <w:jc w:val="center"/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</w:rPr>
              <w:t>2025级工业互联网应用专业1～2班</w:t>
            </w:r>
          </w:p>
        </w:tc>
      </w:tr>
      <w:tr w14:paraId="01493CE8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563FE9F1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总学时</w:t>
            </w:r>
          </w:p>
        </w:tc>
        <w:tc>
          <w:tcPr>
            <w:tcW w:w="8189" w:type="dxa"/>
            <w:vAlign w:val="center"/>
          </w:tcPr>
          <w:p w14:paraId="6CFEAD3F">
            <w:pPr>
              <w:widowControl/>
              <w:jc w:val="center"/>
              <w:rPr>
                <w:rFonts w:hint="default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</w:pPr>
            <w:r>
              <w:rPr>
                <w:rFonts w:hint="eastAsia" w:ascii="黑体" w:hAnsi="黑体" w:eastAsia="黑体" w:cs="Times New Roman"/>
                <w:color w:val="000000"/>
                <w:kern w:val="0"/>
                <w:sz w:val="32"/>
                <w:szCs w:val="32"/>
                <w:lang w:val="en-US" w:eastAsia="zh-CN"/>
              </w:rPr>
              <w:t>32</w:t>
            </w:r>
          </w:p>
        </w:tc>
      </w:tr>
      <w:tr w14:paraId="5FD40960">
        <w:trPr>
          <w:trHeight w:val="384" w:hRule="atLeast"/>
          <w:jc w:val="center"/>
        </w:trPr>
        <w:tc>
          <w:tcPr>
            <w:tcW w:w="3005" w:type="dxa"/>
            <w:vAlign w:val="center"/>
          </w:tcPr>
          <w:p w14:paraId="4C613059">
            <w:pPr>
              <w:widowControl/>
              <w:jc w:val="center"/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</w:pPr>
            <w:r>
              <w:rPr>
                <w:rFonts w:hint="eastAsia" w:ascii="黑体" w:hAnsi="黑体" w:eastAsia="黑体" w:cs="Times New Roman"/>
                <w:kern w:val="0"/>
                <w:sz w:val="32"/>
                <w:szCs w:val="32"/>
              </w:rPr>
              <w:t>备注：</w:t>
            </w:r>
          </w:p>
        </w:tc>
        <w:tc>
          <w:tcPr>
            <w:tcW w:w="8189" w:type="dxa"/>
            <w:vAlign w:val="center"/>
          </w:tcPr>
          <w:p w14:paraId="789E320A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工作任务：WT3.3: 工业互联网数据工程项目交付</w:t>
            </w:r>
          </w:p>
          <w:p w14:paraId="0B980628">
            <w:pPr>
              <w:widowControl/>
              <w:jc w:val="left"/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</w:pPr>
            <w:r>
              <w:rPr>
                <w:rFonts w:hint="eastAsia" w:ascii="黑体" w:hAnsi="黑体" w:eastAsia="黑体" w:cs="Times New Roman"/>
                <w:kern w:val="0"/>
                <w:sz w:val="24"/>
                <w:szCs w:val="24"/>
              </w:rPr>
              <w:t>工作情境：3.3 Python项目实战（第1-8周，每周4课时；前置：C语言编程基础）</w:t>
            </w:r>
          </w:p>
        </w:tc>
      </w:tr>
    </w:tbl>
    <w:p w14:paraId="71B23CDC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048D977A">
      <w:pPr>
        <w:jc w:val="center"/>
        <w:rPr>
          <w:rFonts w:hint="eastAsia" w:ascii="黑体" w:hAnsi="黑体" w:eastAsia="黑体" w:cs="Times New Roman"/>
          <w:sz w:val="28"/>
        </w:rPr>
      </w:pPr>
      <w:bookmarkStart w:id="0" w:name="OLE_LINK3"/>
      <w:r>
        <w:rPr>
          <w:rFonts w:hint="eastAsia" w:ascii="黑体" w:hAnsi="黑体" w:eastAsia="黑体" w:cs="Times New Roman"/>
          <w:color w:val="000000"/>
          <w:sz w:val="28"/>
        </w:rPr>
        <w:t>项目P1 Python工程基础   任务P1.1《C→Python语法快速迁移与基础练习》教学方案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50B4800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F8C54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49B9BA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6CA777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6FAA1E0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C4EBE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23F2B52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11C23E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F996DF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C1C86E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4D703484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1班：第一周星期三下午1-4节</w:t>
            </w:r>
          </w:p>
        </w:tc>
      </w:tr>
      <w:tr w14:paraId="1F5D099B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0AFE8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39E2321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某软件企业新承接工业互联网数据平台项目，团队中已掌握C语言的开发人员需在一周内快速切换到Python开发。作为入职考核任务，需要完成C→Python语法迁移学习，并通过5道渐进式编程练习题（数据类型、控制流、列表字典、类与对象、异常处理）验证迁移效果，全部代码托管至Git仓库。</w:t>
            </w:r>
          </w:p>
        </w:tc>
      </w:tr>
      <w:tr w14:paraId="165B9E23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AE71DE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970D8C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43EBD23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0620315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3.微观：学生C语言基础参差不齐（指针、结构体掌握度差异大）；对Python“缩进即语法”“动态类型”需要适应期；C思维定势（先声明后使用、手动管理边界）既是基础也是包袱。</w:t>
            </w:r>
          </w:p>
        </w:tc>
      </w:tr>
      <w:tr w14:paraId="5081581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4F0950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3C92382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（1）C→Python语法映射：变量、控制流、函数；</w:t>
            </w:r>
          </w:p>
          <w:p w14:paraId="13CC928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（2）列表、字典、元组三大容器的操作；</w:t>
            </w:r>
          </w:p>
          <w:p w14:paraId="3E0F855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（3）类与对象的基本语法（指针→对象视角）；</w:t>
            </w:r>
          </w:p>
          <w:p w14:paraId="4F02343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（4）try/except异常处理结构。</w:t>
            </w:r>
          </w:p>
        </w:tc>
      </w:tr>
      <w:tr w14:paraId="7CC870E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D1CF9A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BA1E48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（1）引用语义的理解（赋值不拷贝、可变对象共享）；</w:t>
            </w:r>
          </w:p>
          <w:p w14:paraId="5C89849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（2）从结构体思维到对象思维的升级；</w:t>
            </w:r>
          </w:p>
          <w:p w14:paraId="5303633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（3）缩进即语法的编码纪律建立。</w:t>
            </w:r>
          </w:p>
        </w:tc>
      </w:tr>
      <w:tr w14:paraId="27C4057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0A0E6D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4A6D6F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611A3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479EB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bookmarkStart w:id="1" w:name="_Toc10351"/>
            <w:bookmarkStart w:id="2" w:name="_Toc1481"/>
            <w:bookmarkStart w:id="3" w:name="_Toc10423"/>
            <w:bookmarkStart w:id="4" w:name="_Toc30519"/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1.教学资料：C/Python双栏对照表、5道渐进式练习题包（含测试用例）、引用语义内存图解、PEP 8速查卡、工单P1.1任务书与评价量表；</w:t>
            </w:r>
          </w:p>
          <w:p w14:paraId="3AF12CF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3.9+、VS Code、Git；</w:t>
            </w:r>
          </w:p>
          <w:p w14:paraId="5DE9D7A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3.教学平台：课程在线平台（迁移微课、在线判题）。</w:t>
            </w:r>
          </w:p>
        </w:tc>
      </w:tr>
      <w:tr w14:paraId="0486988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F91886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4148DE9A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00E5A03F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3634169E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41D7E9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63790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1BEF6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（1）双栏对照教学法：每个语法点先看C再看Python，降低切换成本；</w:t>
            </w:r>
          </w:p>
          <w:p w14:paraId="3DD2ACD8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（2）内存图手绘法讲引用语义，可变/不可变一目了然；</w:t>
            </w:r>
          </w:p>
          <w:p w14:paraId="5DD4D8D3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（3）练习题内置自动测试用例，即时验证正确性。</w:t>
            </w:r>
          </w:p>
        </w:tc>
      </w:tr>
      <w:tr w14:paraId="5D29EC3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A4416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16A89A0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（1）对C基础薄弱学生提供“前3题保底”路径（及格线≥3题）；</w:t>
            </w:r>
          </w:p>
          <w:p w14:paraId="4FFC2A17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（2）对象思维用“结构体+函数指针→类”的演进故事讲解；</w:t>
            </w:r>
          </w:p>
          <w:p w14:paraId="2710E792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（3）缩进错误用IDE实时标红演示，强化肌肉记忆。</w:t>
            </w:r>
          </w:p>
        </w:tc>
      </w:tr>
      <w:tr w14:paraId="627168D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58B7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14499C3">
        <w:trPr>
          <w:trHeight w:val="419" w:hRule="atLeast"/>
        </w:trPr>
        <w:tc>
          <w:tcPr>
            <w:tcW w:w="378" w:type="pct"/>
            <w:vAlign w:val="center"/>
          </w:tcPr>
          <w:p w14:paraId="19655A6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0492C9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24109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440FBF3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B28A4B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014BE2B9">
        <w:trPr>
          <w:trHeight w:val="850" w:hRule="atLeast"/>
        </w:trPr>
        <w:tc>
          <w:tcPr>
            <w:tcW w:w="378" w:type="pct"/>
            <w:vAlign w:val="center"/>
          </w:tcPr>
          <w:p w14:paraId="12A308F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39C4C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BD487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232C40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09723F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989C4E4">
        <w:trPr>
          <w:trHeight w:val="960" w:hRule="atLeast"/>
        </w:trPr>
        <w:tc>
          <w:tcPr>
            <w:tcW w:w="378" w:type="pct"/>
            <w:vAlign w:val="center"/>
          </w:tcPr>
          <w:p w14:paraId="4FCBA3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23A57E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47927BB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75608D8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D40761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B17B4E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036383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EF401DE">
        <w:trPr>
          <w:trHeight w:val="64" w:hRule="atLeast"/>
        </w:trPr>
        <w:tc>
          <w:tcPr>
            <w:tcW w:w="378" w:type="pct"/>
            <w:vAlign w:val="center"/>
          </w:tcPr>
          <w:p w14:paraId="133C535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C557FF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精讲演示语法迁移要点（控制流/函数/容器/类）；现场演示5道题的解题思路与测试运行；现场评判操作质量；引导A操作、B操作、C记录、D观摩。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3AA6F3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A类学生完成全部5题并讲解容器选择理由；B类学生完成前4题；C类完成前3题（控制流+容器）；D类观摩并完成第1、2题跟做。</w:t>
            </w:r>
          </w:p>
        </w:tc>
        <w:tc>
          <w:tcPr>
            <w:tcW w:w="956" w:type="pct"/>
            <w:gridSpan w:val="2"/>
            <w:vAlign w:val="center"/>
          </w:tcPr>
          <w:p w14:paraId="03DA847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完成语法迁移与基础验证；</w:t>
            </w:r>
          </w:p>
          <w:p w14:paraId="25334853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形成C→Python迁移笔记与关键注意点。</w:t>
            </w:r>
          </w:p>
        </w:tc>
        <w:tc>
          <w:tcPr>
            <w:tcW w:w="484" w:type="pct"/>
            <w:vAlign w:val="center"/>
          </w:tcPr>
          <w:p w14:paraId="7117891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2C4F6E73">
        <w:trPr>
          <w:trHeight w:val="64" w:hRule="atLeast"/>
        </w:trPr>
        <w:tc>
          <w:tcPr>
            <w:tcW w:w="378" w:type="pct"/>
            <w:vAlign w:val="center"/>
          </w:tcPr>
          <w:p w14:paraId="5A518D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05A6A24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64AC7FC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6B663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0D23AA78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6F8CB0C3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26749F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43BF7EF">
        <w:trPr>
          <w:trHeight w:val="64" w:hRule="atLeast"/>
        </w:trPr>
        <w:tc>
          <w:tcPr>
            <w:tcW w:w="378" w:type="pct"/>
            <w:vAlign w:val="center"/>
          </w:tcPr>
          <w:p w14:paraId="0FDD8F3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038A0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任务检查：检查B/C/D学生练习进度；回顾引用语义与对象要点；监督/评判；巡回指导排错。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63666F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B类学生完成第5题（类与对象）并提交Git仓库；C/D类学生补齐前3题；A类学生优化代码风格冲击PEP 8≥85%。</w:t>
            </w:r>
          </w:p>
        </w:tc>
        <w:tc>
          <w:tcPr>
            <w:tcW w:w="956" w:type="pct"/>
            <w:gridSpan w:val="2"/>
            <w:vAlign w:val="center"/>
          </w:tcPr>
          <w:p w14:paraId="3BAFB8F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完成工单P1.1并达标（≥3题正确+PEP 8≥75%）。</w:t>
            </w:r>
          </w:p>
        </w:tc>
        <w:tc>
          <w:tcPr>
            <w:tcW w:w="484" w:type="pct"/>
            <w:vAlign w:val="center"/>
          </w:tcPr>
          <w:p w14:paraId="69DAA6C0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75min</w:t>
            </w:r>
          </w:p>
        </w:tc>
      </w:tr>
      <w:tr w14:paraId="68919EC1">
        <w:trPr>
          <w:trHeight w:val="64" w:hRule="atLeast"/>
        </w:trPr>
        <w:tc>
          <w:tcPr>
            <w:tcW w:w="378" w:type="pct"/>
            <w:vAlign w:val="center"/>
          </w:tcPr>
          <w:p w14:paraId="20F75D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F8CB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F5248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2BFAA8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DFCDC05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69E125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3E8D77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61CE96C">
        <w:trPr>
          <w:trHeight w:val="411" w:hRule="atLeast"/>
        </w:trPr>
        <w:tc>
          <w:tcPr>
            <w:tcW w:w="378" w:type="pct"/>
            <w:vAlign w:val="center"/>
          </w:tcPr>
          <w:p w14:paraId="4932A3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36B043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230B0CC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9F5B0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6185691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78C59E40">
        <w:trPr>
          <w:trHeight w:val="64" w:hRule="atLeast"/>
        </w:trPr>
        <w:tc>
          <w:tcPr>
            <w:tcW w:w="378" w:type="pct"/>
            <w:vAlign w:val="center"/>
          </w:tcPr>
          <w:p w14:paraId="2E33C72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136CD54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5DA44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C/D类完成迁移对照笔记整理；A/B类完成5题全对并冲击优秀标准（PEP 8≥85%+命名规范）；预习PEP 8与Git工作流。</w:t>
            </w:r>
          </w:p>
        </w:tc>
        <w:tc>
          <w:tcPr>
            <w:tcW w:w="956" w:type="pct"/>
            <w:gridSpan w:val="2"/>
            <w:vAlign w:val="center"/>
          </w:tcPr>
          <w:p w14:paraId="4BB46D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3E8E5D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75076089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C34EA2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3F864DC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70F527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1CCDF0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从练习通过题数、测试用例通过率、PEP 8规范率、协作表现四个维度记录过程性数据；</w:t>
            </w:r>
          </w:p>
          <w:p w14:paraId="1632B57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统计C基础与Python上手速度的相关性，识别需重点关注学生。</w:t>
            </w:r>
          </w:p>
        </w:tc>
      </w:tr>
      <w:tr w14:paraId="04E8133D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E61E1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B43008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针对引用语义误区建立“内存图”专题练习；</w:t>
            </w:r>
          </w:p>
          <w:p w14:paraId="062B51C9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对C基础薄弱学生发放补强包（指针/结构体要点+对照练习）；调整下周分组确保强弱搭配。</w:t>
            </w:r>
          </w:p>
          <w:p w14:paraId="7CA0F8DD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 w14:paraId="3D5B34EB">
      <w:pPr>
        <w:widowControl/>
        <w:jc w:val="left"/>
        <w:rPr>
          <w:rFonts w:hint="eastAsia"/>
        </w:rPr>
      </w:pPr>
    </w:p>
    <w:p w14:paraId="411D1649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232F842A">
      <w:pPr>
        <w:jc w:val="center"/>
        <w:rPr>
          <w:rFonts w:hint="eastAsia" w:ascii="黑体" w:hAnsi="黑体" w:eastAsia="黑体" w:cs="Times New Roman"/>
          <w:sz w:val="28"/>
        </w:rPr>
      </w:pPr>
      <w:r>
        <w:rPr>
          <w:rFonts w:hint="eastAsia" w:ascii="黑体" w:hAnsi="黑体" w:eastAsia="黑体" w:cs="Times New Roman"/>
          <w:color w:val="000000"/>
          <w:sz w:val="28"/>
        </w:rPr>
        <w:t>项目P1 Python工程基础   任务P1.2《工程规范与开发工具链——标准工程模板交付》教学方案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12E2C335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76211549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9E9FB6A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405758E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7975A697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71F0526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4D28D3F6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FAD442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6125CCD8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6564FE2C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292C5216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1班：第二周星期三下午1-4节</w:t>
            </w:r>
          </w:p>
        </w:tc>
      </w:tr>
      <w:tr w14:paraId="4D4E5AE6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41A9134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0A2CAE9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企业数据平台项目组即将进入多人协作开发阶段，技术委员会要求统一工程规范：所有新项目必须基于标准模板创建，包含虚拟环境、依赖清单、标准目录结构、代码检查、自动格式化与单元测试配置，并托管至公司Git平台。作为项目组成员，需要交付一份符合企业规范的标准Python工程模板，作为后续全部开发的统一起点。</w:t>
            </w:r>
          </w:p>
        </w:tc>
      </w:tr>
      <w:tr w14:paraId="5C3949FE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2E155B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16C38A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3867036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FBA6E8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3.微观：学生首次接触Git与虚拟环境，命令行操作生疏；对“为什么要有这么多配置”存在困惑（能跑就行心态）；此任务是后续7个工单的地基，必须人人达标。</w:t>
            </w:r>
          </w:p>
        </w:tc>
      </w:tr>
      <w:tr w14:paraId="26BCEC2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372A99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7FE3A13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（1）PEP 8规范核心条款与自动检查（pylint/flake8/black）；</w:t>
            </w:r>
          </w:p>
          <w:p w14:paraId="5EFFBA7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（2）venv虚拟环境与requirements.txt依赖管理；</w:t>
            </w:r>
          </w:p>
          <w:p w14:paraId="1282B49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（3）Git五步工作流（init/add/commit/branch/merge）与commit规范；</w:t>
            </w:r>
          </w:p>
          <w:p w14:paraId="699AE89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（4）标准项目结构（src/tests/docs/data/config）与pytest入门。</w:t>
            </w:r>
          </w:p>
        </w:tc>
      </w:tr>
      <w:tr w14:paraId="08FD91D9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4AAE2B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649745E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（1）虚拟环境作用的理解（隔离与可复现）；</w:t>
            </w:r>
          </w:p>
          <w:p w14:paraId="20B6E6C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（2）Git分支模型的运用时机；</w:t>
            </w:r>
          </w:p>
          <w:p w14:paraId="3DAE18C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（3）从“能跑就行”到“规范交付”的工程心态转变。</w:t>
            </w:r>
          </w:p>
        </w:tc>
      </w:tr>
      <w:tr w14:paraId="7E30304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C007BB8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340B0CE0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50FC2EE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197B64C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1.教学资料：企业真实项目结构样例、Git闯关练习（四关任务卡）、pylint/black配置文件模板、pytest示例、工单P1.2任务书与评价量表；</w:t>
            </w:r>
          </w:p>
          <w:p w14:paraId="76D9D4F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3.9+、VS Code、Git、GitHub/Gitea账号；</w:t>
            </w:r>
          </w:p>
          <w:p w14:paraId="12B7BDE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3.教学平台：课程在线平台（工具链微课、Git沙盒练习）。</w:t>
            </w:r>
          </w:p>
        </w:tc>
      </w:tr>
      <w:tr w14:paraId="177238A7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02BCF76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6DC569AE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0B660BA5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1E24D51D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371A9C6E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DF1CFDB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468619A0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（1）企业样例驱动：逐目录讲解真实项目结构用途，理解“为什么”；</w:t>
            </w:r>
          </w:p>
          <w:p w14:paraId="759F593E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（2）Git闯关练习：init→commit→branch→merge四关制；</w:t>
            </w:r>
          </w:p>
          <w:p w14:paraId="13DF17AD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（3）模板即资产：后续所有工单在本模板上开发，强化复用与规范价值。</w:t>
            </w:r>
          </w:p>
        </w:tc>
      </w:tr>
      <w:tr w14:paraId="5594E266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5E8825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6F1BFDA3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（1）命令行操作提供“复制即用”命令卡+逐条解释；</w:t>
            </w:r>
          </w:p>
          <w:p w14:paraId="542C46B9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（2）对D类学生开放图形化Git工具（VS Code内置）替代命令行；</w:t>
            </w:r>
          </w:p>
          <w:p w14:paraId="439FF322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（3）设置“混乱项目重构”对比体验（无规范vs有规范的协作差异）。</w:t>
            </w:r>
          </w:p>
        </w:tc>
      </w:tr>
      <w:tr w14:paraId="5F08066A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F8A8CB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6A0D4442">
        <w:trPr>
          <w:trHeight w:val="419" w:hRule="atLeast"/>
        </w:trPr>
        <w:tc>
          <w:tcPr>
            <w:tcW w:w="378" w:type="pct"/>
            <w:vAlign w:val="center"/>
          </w:tcPr>
          <w:p w14:paraId="0FD89D7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6AF629A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3B70985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3D773BD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522DC3A9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20DA3AC2">
        <w:trPr>
          <w:trHeight w:val="850" w:hRule="atLeast"/>
        </w:trPr>
        <w:tc>
          <w:tcPr>
            <w:tcW w:w="378" w:type="pct"/>
            <w:vAlign w:val="center"/>
          </w:tcPr>
          <w:p w14:paraId="03001B7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401EBE5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344B10D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72B74FB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3947856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2635766C">
        <w:trPr>
          <w:trHeight w:val="960" w:hRule="atLeast"/>
        </w:trPr>
        <w:tc>
          <w:tcPr>
            <w:tcW w:w="378" w:type="pct"/>
            <w:vAlign w:val="center"/>
          </w:tcPr>
          <w:p w14:paraId="62C937C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156BDC17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241F76A7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0B28DD5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6D2328F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7065113C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614AE2F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022DA4A5">
        <w:trPr>
          <w:trHeight w:val="64" w:hRule="atLeast"/>
        </w:trPr>
        <w:tc>
          <w:tcPr>
            <w:tcW w:w="378" w:type="pct"/>
            <w:vAlign w:val="center"/>
          </w:tcPr>
          <w:p w14:paraId="6B9E0357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4293103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精讲演示venv创建、目录结构与Git工作流；演示pylint检查与black格式化效果；现场评判操作质量；引导A操作、B操作、C记录、D观摩。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711BDF6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A类学生完成模板搭建+分支操作闯关；B类学生完成标准结构与首次规范提交；C类完成venv与基本提交；D类观摩并完成init/add/commit跟做。</w:t>
            </w:r>
          </w:p>
        </w:tc>
        <w:tc>
          <w:tcPr>
            <w:tcW w:w="956" w:type="pct"/>
            <w:gridSpan w:val="2"/>
            <w:vAlign w:val="center"/>
          </w:tcPr>
          <w:p w14:paraId="402BB3D6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掌握工程规范与工具链基本操作；</w:t>
            </w:r>
          </w:p>
          <w:p w14:paraId="6AB095B3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形成标准模板雏形与关键注意点。</w:t>
            </w:r>
          </w:p>
        </w:tc>
        <w:tc>
          <w:tcPr>
            <w:tcW w:w="484" w:type="pct"/>
            <w:vAlign w:val="center"/>
          </w:tcPr>
          <w:p w14:paraId="5CE8B29E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2E450706">
        <w:trPr>
          <w:trHeight w:val="64" w:hRule="atLeast"/>
        </w:trPr>
        <w:tc>
          <w:tcPr>
            <w:tcW w:w="378" w:type="pct"/>
            <w:vAlign w:val="center"/>
          </w:tcPr>
          <w:p w14:paraId="1BBED9A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326F1A1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5868BFB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25F6F54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1795454E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2EE0EFC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518729C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5EDF54EB">
        <w:trPr>
          <w:trHeight w:val="64" w:hRule="atLeast"/>
        </w:trPr>
        <w:tc>
          <w:tcPr>
            <w:tcW w:w="378" w:type="pct"/>
            <w:vAlign w:val="center"/>
          </w:tcPr>
          <w:p w14:paraId="204D7A8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7DB7387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任务检查：检查B/C/D学生模板完成度；回顾分支与检查工具要点；监督/评判；巡回指导排错。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207CAD3B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B类学生完成pytest示例与检查配置并推送远端仓库；C/D类完成基础结构版；A类学生配置CI（GitHub Actions）冲击优秀标准。</w:t>
            </w:r>
          </w:p>
        </w:tc>
        <w:tc>
          <w:tcPr>
            <w:tcW w:w="956" w:type="pct"/>
            <w:gridSpan w:val="2"/>
            <w:vAlign w:val="center"/>
          </w:tcPr>
          <w:p w14:paraId="05FE2EBC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完成工单P1.2并达标：环境可用+仓库初始化+结构完整+README说明。</w:t>
            </w:r>
          </w:p>
        </w:tc>
        <w:tc>
          <w:tcPr>
            <w:tcW w:w="484" w:type="pct"/>
            <w:vAlign w:val="center"/>
          </w:tcPr>
          <w:p w14:paraId="5EB463B9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75min</w:t>
            </w:r>
          </w:p>
        </w:tc>
      </w:tr>
      <w:tr w14:paraId="1E82B252">
        <w:trPr>
          <w:trHeight w:val="64" w:hRule="atLeast"/>
        </w:trPr>
        <w:tc>
          <w:tcPr>
            <w:tcW w:w="378" w:type="pct"/>
            <w:vAlign w:val="center"/>
          </w:tcPr>
          <w:p w14:paraId="026AE90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3CC8AA3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A7FD7C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2E04F16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64020153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D88BE69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186D8A04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10DD40D7">
        <w:trPr>
          <w:trHeight w:val="411" w:hRule="atLeast"/>
        </w:trPr>
        <w:tc>
          <w:tcPr>
            <w:tcW w:w="378" w:type="pct"/>
            <w:vAlign w:val="center"/>
          </w:tcPr>
          <w:p w14:paraId="43ED5DC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2D660D7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6F1E903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5598C6A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56288797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44D26A31">
        <w:trPr>
          <w:trHeight w:val="64" w:hRule="atLeast"/>
        </w:trPr>
        <w:tc>
          <w:tcPr>
            <w:tcW w:w="378" w:type="pct"/>
            <w:vAlign w:val="center"/>
          </w:tcPr>
          <w:p w14:paraId="46C3223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6C1401E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5EF906F0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C/D类完成Git闯关巩固练习；A/B类配置CI与Docker（超优标准）；用模板重构P1.1代码并规范提交。</w:t>
            </w:r>
          </w:p>
        </w:tc>
        <w:tc>
          <w:tcPr>
            <w:tcW w:w="956" w:type="pct"/>
            <w:gridSpan w:val="2"/>
            <w:vAlign w:val="center"/>
          </w:tcPr>
          <w:p w14:paraId="478B2F6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2B6EF5C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258422C1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BB48D2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020F57A1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00D75FC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2EB3031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从模板完整度、Git操作规范性、检查工具配置、协作表现四个维度记录过程性数据；</w:t>
            </w:r>
          </w:p>
          <w:p w14:paraId="47C1A69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统计命令行操作障碍点，评估“命令卡”辅助效果。</w:t>
            </w:r>
          </w:p>
        </w:tc>
      </w:tr>
      <w:tr w14:paraId="7ADC6A87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645AE4D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5106D3D7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建立班级统一“命令速查墙”；</w:t>
            </w:r>
          </w:p>
          <w:p w14:paraId="433CC4C9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对Git尚未达标学生安排课后专项过关（下次课前必须补齐，因后续工单全部依赖）；优秀CI配置纳入模板库。</w:t>
            </w:r>
          </w:p>
          <w:p w14:paraId="282BF5F1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 w14:paraId="6882B52C">
      <w:pPr>
        <w:widowControl/>
        <w:jc w:val="left"/>
        <w:rPr>
          <w:rFonts w:hint="eastAsia"/>
        </w:rPr>
      </w:pPr>
    </w:p>
    <w:p w14:paraId="33F885EA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3C5A3161">
      <w:pPr>
        <w:jc w:val="center"/>
        <w:rPr>
          <w:rFonts w:hint="eastAsia" w:ascii="黑体" w:hAnsi="黑体" w:eastAsia="黑体" w:cs="Times New Roman"/>
          <w:sz w:val="28"/>
        </w:rPr>
      </w:pPr>
      <w:r>
        <w:rPr>
          <w:rFonts w:hint="eastAsia" w:ascii="黑体" w:hAnsi="黑体" w:eastAsia="黑体" w:cs="Times New Roman"/>
          <w:color w:val="000000"/>
          <w:sz w:val="28"/>
        </w:rPr>
        <w:t>项目P2 数据处理工程   任务P2.1《Pandas数据处理与清洗管道》教学方案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7230CC3A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60F8BECF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6828EFFD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03E46D4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570757BB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32E2614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5A52F286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4444655D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093D7D7D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3EB5FC7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19187F59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1班：第三周星期三下午1-4节</w:t>
            </w:r>
          </w:p>
        </w:tc>
      </w:tr>
      <w:tr w14:paraId="65F6FDEC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2F09A8F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46C2671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企业数据中台收到某产线为期一个月的传感器原始数据（CSV，1000+行），存在缺失值、异常值、类型不一致、重复行、时间戳格式混乱等问题，无法直接用于分析。作为数据工程师，需要构建一条完整的数据处理管道：加载检查→缺失处理→类型转换→异常检测→去重→验证→输出清洁数据与《数据质量报告》，质量评分须达到85分以上。</w:t>
            </w:r>
          </w:p>
        </w:tc>
      </w:tr>
      <w:tr w14:paraId="7C725C66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550D1B7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1486D27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5005749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779789E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3.微观：学生已具备Python工程规范基础，Pandas为首个大型数据工具；DataFrame的链式操作思维与既往逐行处理习惯冲突；对“脏数据”的真实形态缺乏想象，需用真实数据冲击认知。</w:t>
            </w:r>
          </w:p>
        </w:tc>
      </w:tr>
      <w:tr w14:paraId="36E0D561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78E5456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0169495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（1）DataFrame读写与检查方法（shape/info/describe/head）；</w:t>
            </w:r>
          </w:p>
          <w:p w14:paraId="4241338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（2）缺失值、异常值、重复值三类问题处理；</w:t>
            </w:r>
          </w:p>
          <w:p w14:paraId="37690A1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（3）groupby分组聚合与数据合并；</w:t>
            </w:r>
          </w:p>
          <w:p w14:paraId="00A68E5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（4）数据质量四维度评分（完整性/准确性/一致性/时间性）。</w:t>
            </w:r>
          </w:p>
        </w:tc>
      </w:tr>
      <w:tr w14:paraId="6A5F6E84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48DB13C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689E57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（1）异常值判断的业务依据（统计离群vs真实工况）；</w:t>
            </w:r>
          </w:p>
          <w:p w14:paraId="5C31C48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（2）链式操作的组织与可读性平衡；</w:t>
            </w:r>
          </w:p>
          <w:p w14:paraId="38DEBCB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（3）merge连接类型的选择依据。</w:t>
            </w:r>
          </w:p>
        </w:tc>
      </w:tr>
      <w:tr w14:paraId="3F003362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46C8AA29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7672ABB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1C55B19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5F7710C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1.教学资料：真实产线脱敏数据集（含多重脏数据形态）、管道七步检查清单、质量评分自动脚本、Pandas速查手册、工单P2.1任务书与评价量表；</w:t>
            </w:r>
          </w:p>
          <w:p w14:paraId="153680C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3.9+、pandas、numpy（venv环境，基于P1.2模板）；</w:t>
            </w:r>
          </w:p>
          <w:p w14:paraId="47FFEBC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3.教学平台：课程在线平台（Pandas微课、数据集下载、评分自测）。</w:t>
            </w:r>
          </w:p>
        </w:tc>
      </w:tr>
      <w:tr w14:paraId="507E2482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0508711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1B02889C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250F8B6B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0272FB1B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717FD49E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52C73F1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55E22309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（1）真实数据实战：拒绝玩具数据，直面真实脏数据形态；</w:t>
            </w:r>
          </w:p>
          <w:p w14:paraId="5B543F2E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（2）七步检查清单引导流程化开发；</w:t>
            </w:r>
          </w:p>
          <w:p w14:paraId="6E116A70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（3）质量评分脚本即时反馈，支持迭代优化。</w:t>
            </w:r>
          </w:p>
        </w:tc>
      </w:tr>
      <w:tr w14:paraId="476A915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3048143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6C878B45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（1）对C/D层提供管道步骤骨架代码（补全关键调用）；</w:t>
            </w:r>
          </w:p>
          <w:p w14:paraId="153F9EB9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（2）异常值判断设置“业务讨论”环节（离群=故障还是工况切换？）；</w:t>
            </w:r>
          </w:p>
          <w:p w14:paraId="3037D52E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（3）用可视化（箱线图）辅助异常值直观识别。</w:t>
            </w:r>
          </w:p>
        </w:tc>
      </w:tr>
      <w:tr w14:paraId="417B7418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538AE69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4D743272">
        <w:trPr>
          <w:trHeight w:val="419" w:hRule="atLeast"/>
        </w:trPr>
        <w:tc>
          <w:tcPr>
            <w:tcW w:w="378" w:type="pct"/>
            <w:vAlign w:val="center"/>
          </w:tcPr>
          <w:p w14:paraId="508D7C4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7D3CFD1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1FD55F3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717328D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577D2B2F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1E877C17">
        <w:trPr>
          <w:trHeight w:val="850" w:hRule="atLeast"/>
        </w:trPr>
        <w:tc>
          <w:tcPr>
            <w:tcW w:w="378" w:type="pct"/>
            <w:vAlign w:val="center"/>
          </w:tcPr>
          <w:p w14:paraId="36481D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3601432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5C0CAC3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56A2BDE1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7E11EAD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D35C4AD">
        <w:trPr>
          <w:trHeight w:val="960" w:hRule="atLeast"/>
        </w:trPr>
        <w:tc>
          <w:tcPr>
            <w:tcW w:w="378" w:type="pct"/>
            <w:vAlign w:val="center"/>
          </w:tcPr>
          <w:p w14:paraId="015AF47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12CB573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20340BD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4AD1813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1A8070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2407312A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15E0556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74522F11">
        <w:trPr>
          <w:trHeight w:val="64" w:hRule="atLeast"/>
        </w:trPr>
        <w:tc>
          <w:tcPr>
            <w:tcW w:w="378" w:type="pct"/>
            <w:vAlign w:val="center"/>
          </w:tcPr>
          <w:p w14:paraId="0304D68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6ED292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精讲演示DataFrame检查与三类脏数据处理；演示质量评分脚本运行；现场评判操作质量；引导A操作、B操作、C记录、D观摩。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28ABE2C3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A类学生完成全管道并分析质量失分点；B类学生完成缺失/类型/去重处理；C类完成加载与缺失值处理；D类观摩并完成数据检查练习。</w:t>
            </w:r>
          </w:p>
        </w:tc>
        <w:tc>
          <w:tcPr>
            <w:tcW w:w="956" w:type="pct"/>
            <w:gridSpan w:val="2"/>
            <w:vAlign w:val="center"/>
          </w:tcPr>
          <w:p w14:paraId="454F10B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掌握Pandas核心清洗操作；</w:t>
            </w:r>
          </w:p>
          <w:p w14:paraId="5DC2AAC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形成清洁数据样例与关键注意点。</w:t>
            </w:r>
          </w:p>
        </w:tc>
        <w:tc>
          <w:tcPr>
            <w:tcW w:w="484" w:type="pct"/>
            <w:vAlign w:val="center"/>
          </w:tcPr>
          <w:p w14:paraId="546C68AE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77D8DD6">
        <w:trPr>
          <w:trHeight w:val="64" w:hRule="atLeast"/>
        </w:trPr>
        <w:tc>
          <w:tcPr>
            <w:tcW w:w="378" w:type="pct"/>
            <w:vAlign w:val="center"/>
          </w:tcPr>
          <w:p w14:paraId="3E330C6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23F70FB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38670E6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6EA7A465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448F50CF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1E7401BB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1414A59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35AB247">
        <w:trPr>
          <w:trHeight w:val="64" w:hRule="atLeast"/>
        </w:trPr>
        <w:tc>
          <w:tcPr>
            <w:tcW w:w="378" w:type="pct"/>
            <w:vAlign w:val="center"/>
          </w:tcPr>
          <w:p w14:paraId="5BEA012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96A701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任务检查：检查B/C/D学生管道进度；回顾异常值业务判断要点；监督/评判；巡回指导排错。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4801E1A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B类学生完成七步管道并输出质量报告（≥85分）；C/D类完成基础清洗版本；A类学生处理嵌套JSON等特殊格式冲击90分。</w:t>
            </w:r>
          </w:p>
        </w:tc>
        <w:tc>
          <w:tcPr>
            <w:tcW w:w="956" w:type="pct"/>
            <w:gridSpan w:val="2"/>
            <w:vAlign w:val="center"/>
          </w:tcPr>
          <w:p w14:paraId="5718ED68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完成工单P2.1并达标（管道完整+质量≥85%+PEP 8≥75%）。</w:t>
            </w:r>
          </w:p>
        </w:tc>
        <w:tc>
          <w:tcPr>
            <w:tcW w:w="484" w:type="pct"/>
            <w:vAlign w:val="center"/>
          </w:tcPr>
          <w:p w14:paraId="523CCD8E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75min</w:t>
            </w:r>
          </w:p>
        </w:tc>
      </w:tr>
      <w:tr w14:paraId="6A2AB6AB">
        <w:trPr>
          <w:trHeight w:val="64" w:hRule="atLeast"/>
        </w:trPr>
        <w:tc>
          <w:tcPr>
            <w:tcW w:w="378" w:type="pct"/>
            <w:vAlign w:val="center"/>
          </w:tcPr>
          <w:p w14:paraId="27B22B9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0503C27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192F749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306AB1F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0FFA30D2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4A36EDD6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5CDC9E02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3EAB4C49">
        <w:trPr>
          <w:trHeight w:val="411" w:hRule="atLeast"/>
        </w:trPr>
        <w:tc>
          <w:tcPr>
            <w:tcW w:w="378" w:type="pct"/>
            <w:vAlign w:val="center"/>
          </w:tcPr>
          <w:p w14:paraId="2AD70C5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44FDC50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0E8559E5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1C01F0F0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0FCBA309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4CD9A467">
        <w:trPr>
          <w:trHeight w:val="64" w:hRule="atLeast"/>
        </w:trPr>
        <w:tc>
          <w:tcPr>
            <w:tcW w:w="378" w:type="pct"/>
            <w:vAlign w:val="center"/>
          </w:tcPr>
          <w:p w14:paraId="560C5225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56BDA5B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3BA89BC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C/D类完成Pandas基础练习集；A/B类实现增量数据处理或自定义验证规则（超优标准）；整理数据质量报告。</w:t>
            </w:r>
          </w:p>
        </w:tc>
        <w:tc>
          <w:tcPr>
            <w:tcW w:w="956" w:type="pct"/>
            <w:gridSpan w:val="2"/>
            <w:vAlign w:val="center"/>
          </w:tcPr>
          <w:p w14:paraId="6AE3FBA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364F31B2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1C10B707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1457622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03897150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407DD5D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272440F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从质量评分、管道完整性、处理日志规范性、协作表现四个维度记录过程性数据；</w:t>
            </w:r>
          </w:p>
          <w:p w14:paraId="1FDED53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统计链式操作与merge类错误，评估工具迁移成效。</w:t>
            </w:r>
          </w:p>
        </w:tc>
      </w:tr>
      <w:tr w14:paraId="5AC4FBC6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2DC720C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A368DBC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针对merge误用建立“连接类型决策卡”；</w:t>
            </w:r>
          </w:p>
          <w:p w14:paraId="554421F0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将各小组质量报告差异作为讨论素材，强化业务判断意识；优秀管道代码进入班级模板库。</w:t>
            </w:r>
          </w:p>
          <w:p w14:paraId="14D07634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 w14:paraId="252C6C51">
      <w:pPr>
        <w:widowControl/>
        <w:jc w:val="left"/>
        <w:rPr>
          <w:rFonts w:hint="eastAsia"/>
        </w:rPr>
      </w:pPr>
    </w:p>
    <w:p w14:paraId="2FABCB7D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6A6F3848">
      <w:pPr>
        <w:jc w:val="center"/>
        <w:rPr>
          <w:rFonts w:hint="eastAsia" w:ascii="黑体" w:hAnsi="黑体" w:eastAsia="黑体" w:cs="Times New Roman"/>
          <w:sz w:val="28"/>
        </w:rPr>
      </w:pPr>
      <w:r>
        <w:rPr>
          <w:rFonts w:hint="eastAsia" w:ascii="黑体" w:hAnsi="黑体" w:eastAsia="黑体" w:cs="Times New Roman"/>
          <w:color w:val="000000"/>
          <w:sz w:val="28"/>
        </w:rPr>
        <w:t>项目P2 数据处理工程   任务P2.2《NumPy特征工程——30维故障特征提取系统》教学方案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7B462751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4D16301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5A3C929A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7CFA402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083F07A9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317DDEF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3B76926C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5667153C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42375D77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509E6AC2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0286B6A3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1班：第四周星期三下午1-4节</w:t>
            </w:r>
          </w:p>
        </w:tc>
      </w:tr>
      <w:tr w14:paraId="088144CE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2CD7FE8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4891DEA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设备状态监测项目需要从振动传感器时间序列（100Hz采样，1000点/样本，100-500个样本）中提取故障特征，供后续诊断模型使用。作为数据工程师，需要用NumPy向量化实现30维特征提取：时域特征10个（均值、标准差、峰值、RMS、峭度等）、频域特征15个（FFT主频率、带宽、能量分布等）、统计特征5个（偏度、峰度、变异系数、信息熵等），处理1000样本耗时须低于100毫秒。</w:t>
            </w:r>
          </w:p>
        </w:tc>
      </w:tr>
      <w:tr w14:paraId="07C0BD9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3FD31BF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53E8231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5308DD6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04832E3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3.微观：学生已掌握Pandas清洗，NumPy向量化是性能思维升级；FFT频域概念首次接触，抽象度高；特征物理含义（如峭度反映冲击性）需要工程解读训练。</w:t>
            </w:r>
          </w:p>
        </w:tc>
      </w:tr>
      <w:tr w14:paraId="503B0949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2DD12B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27CD12BD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（1）NumPy数组操作、向量化计算与广播机制；</w:t>
            </w:r>
          </w:p>
          <w:p w14:paraId="6AC97D0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（2）FFT频域分析与频谱特征计算；</w:t>
            </w:r>
          </w:p>
          <w:p w14:paraId="3F62D3D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（3）30维特征的公式实现与特征标准化；</w:t>
            </w:r>
          </w:p>
          <w:p w14:paraId="497092C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（4）特征矩阵输出（N_samples×30）与箱线图可视化。</w:t>
            </w:r>
          </w:p>
        </w:tc>
      </w:tr>
      <w:tr w14:paraId="4BB06FF1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5036B1A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66FB3BF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（1）时域→频域的变换直觉建立；</w:t>
            </w:r>
          </w:p>
          <w:p w14:paraId="3DCD797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（2）广播规则的多维应用；</w:t>
            </w:r>
          </w:p>
          <w:p w14:paraId="2600AB1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（3）特征物理含义与故障模式的关联解读。</w:t>
            </w:r>
          </w:p>
        </w:tc>
      </w:tr>
      <w:tr w14:paraId="50C930EF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1E6CE82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5B8A31B3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7679DAE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11DCD74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1.教学资料：振动信号数据集（正常/故障标注）、特征字典模板（名称/公式/物理含义）、FFT频谱动画演示、性能计时脚本、工单P2.2任务书与评价量表；</w:t>
            </w:r>
          </w:p>
          <w:p w14:paraId="10ED6C4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3.9+、numpy、matplotlib；</w:t>
            </w:r>
          </w:p>
          <w:p w14:paraId="4BF2412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3.教学平台：课程在线平台（NumPy/FFT微课、性能排行榜）。</w:t>
            </w:r>
          </w:p>
        </w:tc>
      </w:tr>
      <w:tr w14:paraId="770DEB70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28CBEE2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7D9C68DF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761F0C04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3D0AC832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05925E5D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7723891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37DE97BD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（1）“和弦分解”类比+频谱动画讲FFT；</w:t>
            </w:r>
          </w:p>
          <w:p w14:paraId="329DD0CC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（2）特征字典模板实现“会算更懂含义”；</w:t>
            </w:r>
          </w:p>
          <w:p w14:paraId="07BFC1F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（3）性能排行榜激励向量化优化（100倍提速演示开场）。</w:t>
            </w:r>
          </w:p>
        </w:tc>
      </w:tr>
      <w:tr w14:paraId="3A2E07D4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2617AF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058CFC58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（1）先允许循环实现跑通，再对照向量化版本重写（体验式理解）；</w:t>
            </w:r>
          </w:p>
          <w:p w14:paraId="6AF6AB73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（2）对C/D层提供10个时域特征的参考实现，自选补齐频域；</w:t>
            </w:r>
          </w:p>
          <w:p w14:paraId="7545F6D2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（3）广播机制用“形状对齐图”专项训练。</w:t>
            </w:r>
          </w:p>
        </w:tc>
      </w:tr>
      <w:tr w14:paraId="0B463CDE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C9DA04A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1394B79F">
        <w:trPr>
          <w:trHeight w:val="419" w:hRule="atLeast"/>
        </w:trPr>
        <w:tc>
          <w:tcPr>
            <w:tcW w:w="378" w:type="pct"/>
            <w:vAlign w:val="center"/>
          </w:tcPr>
          <w:p w14:paraId="10870FD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06553E4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2D3F514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191651B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279B5945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4F6BD037">
        <w:trPr>
          <w:trHeight w:val="850" w:hRule="atLeast"/>
        </w:trPr>
        <w:tc>
          <w:tcPr>
            <w:tcW w:w="378" w:type="pct"/>
            <w:vAlign w:val="center"/>
          </w:tcPr>
          <w:p w14:paraId="5834ECC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31E9716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1C7698C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0590392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682664C0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1B2BB941">
        <w:trPr>
          <w:trHeight w:val="960" w:hRule="atLeast"/>
        </w:trPr>
        <w:tc>
          <w:tcPr>
            <w:tcW w:w="378" w:type="pct"/>
            <w:vAlign w:val="center"/>
          </w:tcPr>
          <w:p w14:paraId="115F68B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1C1D742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253A4A6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2A483DF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39A7409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7BD33338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2F3FF9E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22622146">
        <w:trPr>
          <w:trHeight w:val="64" w:hRule="atLeast"/>
        </w:trPr>
        <w:tc>
          <w:tcPr>
            <w:tcW w:w="378" w:type="pct"/>
            <w:vAlign w:val="center"/>
          </w:tcPr>
          <w:p w14:paraId="491C841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67F6BBD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精讲演示向量化与广播；演示FFT计算与频域特征提取；现场评判操作质量；引导A操作、B操作、C记录、D观摩。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30CF12C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A类学生完成向量化30维特征+性能优化；B类学生完成时域+部分频域特征；C类完成10个时域特征；D类观摩并完成数组操作练习。</w:t>
            </w:r>
          </w:p>
        </w:tc>
        <w:tc>
          <w:tcPr>
            <w:tcW w:w="956" w:type="pct"/>
            <w:gridSpan w:val="2"/>
            <w:vAlign w:val="center"/>
          </w:tcPr>
          <w:p w14:paraId="55A3572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掌握向量化计算与特征提取方法；</w:t>
            </w:r>
          </w:p>
          <w:p w14:paraId="4B0AB976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形成特征矩阵样例与关键注意点。</w:t>
            </w:r>
          </w:p>
        </w:tc>
        <w:tc>
          <w:tcPr>
            <w:tcW w:w="484" w:type="pct"/>
            <w:vAlign w:val="center"/>
          </w:tcPr>
          <w:p w14:paraId="6B1AD53D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4162AAD2">
        <w:trPr>
          <w:trHeight w:val="64" w:hRule="atLeast"/>
        </w:trPr>
        <w:tc>
          <w:tcPr>
            <w:tcW w:w="378" w:type="pct"/>
            <w:vAlign w:val="center"/>
          </w:tcPr>
          <w:p w14:paraId="6261E76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3EF2F39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2EE1CDD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1487CB01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542C8EED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4D61759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0BC31D5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2CE08138">
        <w:trPr>
          <w:trHeight w:val="64" w:hRule="atLeast"/>
        </w:trPr>
        <w:tc>
          <w:tcPr>
            <w:tcW w:w="378" w:type="pct"/>
            <w:vAlign w:val="center"/>
          </w:tcPr>
          <w:p w14:paraId="0CEA3E9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5097C33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任务检查：检查B/C/D学生特征完成度；回顾FFT与标准化要点；监督/评判；巡回指导排错。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1D9CEF84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B类学生完成30维特征+标准化+箱线图；C/D类完成≥15维基础版；A类学生优化至&lt;50ms并补充特征字典注释。</w:t>
            </w:r>
          </w:p>
        </w:tc>
        <w:tc>
          <w:tcPr>
            <w:tcW w:w="956" w:type="pct"/>
            <w:gridSpan w:val="2"/>
            <w:vAlign w:val="center"/>
          </w:tcPr>
          <w:p w14:paraId="4209E075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完成工单P2.2并达标（30特征正确+向量化+标准化+PEP 8≥75%）。</w:t>
            </w:r>
          </w:p>
        </w:tc>
        <w:tc>
          <w:tcPr>
            <w:tcW w:w="484" w:type="pct"/>
            <w:vAlign w:val="center"/>
          </w:tcPr>
          <w:p w14:paraId="2391C86F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75min</w:t>
            </w:r>
          </w:p>
        </w:tc>
      </w:tr>
      <w:tr w14:paraId="5574142B">
        <w:trPr>
          <w:trHeight w:val="64" w:hRule="atLeast"/>
        </w:trPr>
        <w:tc>
          <w:tcPr>
            <w:tcW w:w="378" w:type="pct"/>
            <w:vAlign w:val="center"/>
          </w:tcPr>
          <w:p w14:paraId="0825662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2C3DB99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63DD076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4F63C37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8FA10E8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D7C05ED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45EABC14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6A368100">
        <w:trPr>
          <w:trHeight w:val="411" w:hRule="atLeast"/>
        </w:trPr>
        <w:tc>
          <w:tcPr>
            <w:tcW w:w="378" w:type="pct"/>
            <w:vAlign w:val="center"/>
          </w:tcPr>
          <w:p w14:paraId="4BD56EB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5A5FA98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4169D1E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461A811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75883A76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359D592E">
        <w:trPr>
          <w:trHeight w:val="64" w:hRule="atLeast"/>
        </w:trPr>
        <w:tc>
          <w:tcPr>
            <w:tcW w:w="378" w:type="pct"/>
            <w:vAlign w:val="center"/>
          </w:tcPr>
          <w:p w14:paraId="37EA2E8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5696977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1D74492C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C/D类完成NumPy专项练习；A/B类尝试特征选择与衍生特征（超优标准）；完善特征字典文档。</w:t>
            </w:r>
          </w:p>
        </w:tc>
        <w:tc>
          <w:tcPr>
            <w:tcW w:w="956" w:type="pct"/>
            <w:gridSpan w:val="2"/>
            <w:vAlign w:val="center"/>
          </w:tcPr>
          <w:p w14:paraId="26907BB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560F77B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24403CFB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D0AB6B8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6E7A753A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36C216F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50635C7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从特征正确性、向量化程度、计算性能、文档完整性四个维度记录过程性数据；</w:t>
            </w:r>
          </w:p>
          <w:p w14:paraId="206E7A7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统计频域特征错误率，评估FFT教学成效；记录性能排行榜数据。</w:t>
            </w:r>
          </w:p>
        </w:tc>
      </w:tr>
      <w:tr w14:paraId="1AA3F598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5D5868B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6D3F64A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针对频域理解薄弱推送频谱动画复盘资料；</w:t>
            </w:r>
          </w:p>
          <w:p w14:paraId="3EFF33E0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特征字典汇编为班级《特征手册》；为P6机器学习任务储备特征数据与文档。</w:t>
            </w:r>
          </w:p>
          <w:p w14:paraId="579ABF4F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 w14:paraId="2EC1AA96">
      <w:pPr>
        <w:widowControl/>
        <w:jc w:val="left"/>
        <w:rPr>
          <w:rFonts w:hint="eastAsia"/>
        </w:rPr>
      </w:pPr>
    </w:p>
    <w:p w14:paraId="7FA6875A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4E07543F">
      <w:pPr>
        <w:jc w:val="center"/>
        <w:rPr>
          <w:rFonts w:hint="eastAsia" w:ascii="黑体" w:hAnsi="黑体" w:eastAsia="黑体" w:cs="Times New Roman"/>
          <w:sz w:val="28"/>
        </w:rPr>
      </w:pPr>
      <w:r>
        <w:rPr>
          <w:rFonts w:hint="eastAsia" w:ascii="黑体" w:hAnsi="黑体" w:eastAsia="黑体" w:cs="Times New Roman"/>
          <w:color w:val="000000"/>
          <w:sz w:val="28"/>
        </w:rPr>
        <w:t>项目P3 数据可视化与报表   任务P3.1/P3.2《产线KPI仪表盘与自动日报系统》教学方案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649FB7E4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C214B5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749E9F78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3E2D1B2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11AAA42B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1DB3E0A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7FABCC9F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0761D1D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105AAAC9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3F974DA4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71561795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1班：第五周星期三下午1-4节</w:t>
            </w:r>
          </w:p>
        </w:tc>
      </w:tr>
      <w:tr w14:paraId="24F2E418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3C9BEB5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5F5D7F4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产线管理层要求数据团队交付两个数据产品：一是“产线驾驶舱”——实时KPI仪表盘，一屏呈现产量趋势、良率、设备状态、告警统计、效率对标5项核心指标，支持时间筛选与设备筛选；二是“每日生产分析报告”——每天早上8点自动生成前一日图文报告（生产概览/详细分析/异常识别/数据表）并邮件推送相关部门。作为数据工程师，需要基于P2输出的清洁数据完成两个产品的开发。</w:t>
            </w:r>
          </w:p>
        </w:tc>
      </w:tr>
      <w:tr w14:paraId="08448F99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AF71E4D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167E88F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132BA97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513207A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3.微观：学生已具备数据处理能力，可视化库API较易上手，兴趣度高；Dash回调机制（交互逻辑）是新概念；报表排版审美与信息层级设计暴露短板，需模板与范例支撑。</w:t>
            </w:r>
          </w:p>
        </w:tc>
      </w:tr>
      <w:tr w14:paraId="4619EE7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02818AC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12EFF9C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（1）Matplotlib/Plotly常用图表与Dash组件、回调机制；</w:t>
            </w:r>
          </w:p>
          <w:p w14:paraId="5EDE619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（2）5项KPI指标设计与数据联动；</w:t>
            </w:r>
          </w:p>
          <w:p w14:paraId="28FF081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（3）Jinja2模板+reportlab的HTML/PDF双格式报告；</w:t>
            </w:r>
          </w:p>
          <w:p w14:paraId="5C57A04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（4）邮件自动发送与定时任务。</w:t>
            </w:r>
          </w:p>
        </w:tc>
      </w:tr>
      <w:tr w14:paraId="35F56AC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5E1BF8C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5CDCD85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（1）Dash回调的数据流理解（输入组件→回调函数→输出组件）；</w:t>
            </w:r>
          </w:p>
          <w:p w14:paraId="74BEB68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（2）报表信息层级与版式设计；</w:t>
            </w:r>
          </w:p>
          <w:p w14:paraId="2B39FD4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（3）自动化链路（生成→发送）的稳定性保障。</w:t>
            </w:r>
          </w:p>
        </w:tc>
      </w:tr>
      <w:tr w14:paraId="29788EB5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1384418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2BB0EE2B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4C30383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4F9F9E5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1.教学资料：真实产线驾驶舱截图（标杆）、Dash最小应用骨架与回调示例、四段式报告模板（概览/分析/异常/附表）、邮件配置说明、工单P3.1/P3.2任务书与评价量表；</w:t>
            </w:r>
          </w:p>
          <w:p w14:paraId="03C7082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3.9+、plotly、dash、matplotlib、jinja2、reportlab；</w:t>
            </w:r>
          </w:p>
          <w:p w14:paraId="42E500B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3.教学平台：课程在线平台（可视化微课、优秀作品廊）。</w:t>
            </w:r>
          </w:p>
        </w:tc>
      </w:tr>
      <w:tr w14:paraId="399D72C2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07336C0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6E56B3C7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6932F14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5B16CC28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1B63C78F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63B2EF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26FB95A2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（1）标杆驱动：以真实驾驶舱截图明确“给谁看、看什么、做什么决策”；</w:t>
            </w:r>
          </w:p>
          <w:p w14:paraId="3459DF60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（2）Dash骨架先行，学生替换数据与布局聚焦业务实现；</w:t>
            </w:r>
          </w:p>
          <w:p w14:paraId="4DEDFDD1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（3）四段式报告模板降低排版难度，保证信息完整。</w:t>
            </w:r>
          </w:p>
        </w:tc>
      </w:tr>
      <w:tr w14:paraId="43E129DF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010627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35D4F9D0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（1）回调机制用“表单提交”类比+三要素图解（输入/函数/输出）；</w:t>
            </w:r>
          </w:p>
          <w:p w14:paraId="5784A1BE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（2）对C/D层提供静态图表版仪表盘降级方案；</w:t>
            </w:r>
          </w:p>
          <w:p w14:paraId="2071D503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（3）邮件环节提供测试邮箱与配置模板，规避真实SMTP故障。</w:t>
            </w:r>
          </w:p>
        </w:tc>
      </w:tr>
      <w:tr w14:paraId="3C408006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6E5C9AA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1046F23E">
        <w:trPr>
          <w:trHeight w:val="419" w:hRule="atLeast"/>
        </w:trPr>
        <w:tc>
          <w:tcPr>
            <w:tcW w:w="378" w:type="pct"/>
            <w:vAlign w:val="center"/>
          </w:tcPr>
          <w:p w14:paraId="24E1C90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48E8BCA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4B72CFB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52288C1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1A6A6A8B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51B961DF">
        <w:trPr>
          <w:trHeight w:val="850" w:hRule="atLeast"/>
        </w:trPr>
        <w:tc>
          <w:tcPr>
            <w:tcW w:w="378" w:type="pct"/>
            <w:vAlign w:val="center"/>
          </w:tcPr>
          <w:p w14:paraId="592435C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0E260E3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690AA64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269BBF3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30E94C11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1EDA90BC">
        <w:trPr>
          <w:trHeight w:val="960" w:hRule="atLeast"/>
        </w:trPr>
        <w:tc>
          <w:tcPr>
            <w:tcW w:w="378" w:type="pct"/>
            <w:vAlign w:val="center"/>
          </w:tcPr>
          <w:p w14:paraId="4F7EE44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1BFF4BC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50C8E51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4E90B8B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049F181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F297DE6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616F48B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7AD003F6">
        <w:trPr>
          <w:trHeight w:val="64" w:hRule="atLeast"/>
        </w:trPr>
        <w:tc>
          <w:tcPr>
            <w:tcW w:w="378" w:type="pct"/>
            <w:vAlign w:val="center"/>
          </w:tcPr>
          <w:p w14:paraId="55B40DD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4AF34F9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精讲演示Plotly图表与Dash回调；演示报告模板渲染与PDF生成；现场评判操作质量；引导A操作、B操作、C记录、D观摩。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112F94B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A类学生完成交互仪表盘（筛选联动）并优化加载性能；B类学生完成5个KPI图表布局；C类完成静态图表版；D类观摩并完成单图表练习。</w:t>
            </w:r>
          </w:p>
        </w:tc>
        <w:tc>
          <w:tcPr>
            <w:tcW w:w="956" w:type="pct"/>
            <w:gridSpan w:val="2"/>
            <w:vAlign w:val="center"/>
          </w:tcPr>
          <w:p w14:paraId="060CC11C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掌握可视化与报表生成方法；</w:t>
            </w:r>
          </w:p>
          <w:p w14:paraId="33DA611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形成仪表盘与报告样例。</w:t>
            </w:r>
          </w:p>
        </w:tc>
        <w:tc>
          <w:tcPr>
            <w:tcW w:w="484" w:type="pct"/>
            <w:vAlign w:val="center"/>
          </w:tcPr>
          <w:p w14:paraId="6134D569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7A172446">
        <w:trPr>
          <w:trHeight w:val="64" w:hRule="atLeast"/>
        </w:trPr>
        <w:tc>
          <w:tcPr>
            <w:tcW w:w="378" w:type="pct"/>
            <w:vAlign w:val="center"/>
          </w:tcPr>
          <w:p w14:paraId="5CA05E5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5397695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3C20BECD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47AE53DC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6D99731E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592C7F30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72C6553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7E900042">
        <w:trPr>
          <w:trHeight w:val="64" w:hRule="atLeast"/>
        </w:trPr>
        <w:tc>
          <w:tcPr>
            <w:tcW w:w="378" w:type="pct"/>
            <w:vAlign w:val="center"/>
          </w:tcPr>
          <w:p w14:paraId="65B2E80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65753EF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任务检查：检查B/C/D学生产品完成度；回顾回调与模板要点；监督/评判；巡回指导排错。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0187BF72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B类学生完成工单P3.1（5KPI+时间筛选）与P3.2（四段报告+PDF）；C/D类完成仪表盘基础版+报告HTML版；A类学生实现数据钻取与异常自动识别。</w:t>
            </w:r>
          </w:p>
        </w:tc>
        <w:tc>
          <w:tcPr>
            <w:tcW w:w="956" w:type="pct"/>
            <w:gridSpan w:val="2"/>
            <w:vAlign w:val="center"/>
          </w:tcPr>
          <w:p w14:paraId="75334450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完成工单P3.1/P3.2并达标（仪表盘5KPI可用；报告四部分完整+生成&lt;2分钟）。</w:t>
            </w:r>
          </w:p>
        </w:tc>
        <w:tc>
          <w:tcPr>
            <w:tcW w:w="484" w:type="pct"/>
            <w:vAlign w:val="center"/>
          </w:tcPr>
          <w:p w14:paraId="2F6BF57D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75min</w:t>
            </w:r>
          </w:p>
        </w:tc>
      </w:tr>
      <w:tr w14:paraId="7E3AF617">
        <w:trPr>
          <w:trHeight w:val="64" w:hRule="atLeast"/>
        </w:trPr>
        <w:tc>
          <w:tcPr>
            <w:tcW w:w="378" w:type="pct"/>
            <w:vAlign w:val="center"/>
          </w:tcPr>
          <w:p w14:paraId="0223958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C7F12D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3EAAC97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6E8EC0E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6D2FF886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1DD4C9FF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4EC04C74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2D0D4221">
        <w:trPr>
          <w:trHeight w:val="411" w:hRule="atLeast"/>
        </w:trPr>
        <w:tc>
          <w:tcPr>
            <w:tcW w:w="378" w:type="pct"/>
            <w:vAlign w:val="center"/>
          </w:tcPr>
          <w:p w14:paraId="48F4E04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66E8D36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5C200F5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44EA884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72041C9B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55A43B30">
        <w:trPr>
          <w:trHeight w:val="64" w:hRule="atLeast"/>
        </w:trPr>
        <w:tc>
          <w:tcPr>
            <w:tcW w:w="378" w:type="pct"/>
            <w:vAlign w:val="center"/>
          </w:tcPr>
          <w:p w14:paraId="37E77F4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68C00E97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2F4E4742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C/D类完成图表专项练习；A/B类冲击优秀标准（≥7指标+钻取、报告&lt;1分钟+异常自动识别）；参加“最美仪表盘”评选。</w:t>
            </w:r>
          </w:p>
        </w:tc>
        <w:tc>
          <w:tcPr>
            <w:tcW w:w="956" w:type="pct"/>
            <w:gridSpan w:val="2"/>
            <w:vAlign w:val="center"/>
          </w:tcPr>
          <w:p w14:paraId="73D99FA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461239E8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35083F6D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8E2D7B6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524D9E22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5EE5E8A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2E4FFC7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从KPI完整度、交互可用性、报告专业度、生成性能四个维度记录过程性数据；</w:t>
            </w:r>
          </w:p>
          <w:p w14:paraId="005F24E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组织作品互评（美观度/信息量/易用性三维打分），统计审美与功能分布。</w:t>
            </w:r>
          </w:p>
        </w:tc>
      </w:tr>
      <w:tr w14:paraId="5FAE5206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CF8E42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3AC892D9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针对回调理解薄弱推送数据流动画；</w:t>
            </w:r>
          </w:p>
          <w:p w14:paraId="06A1E937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优秀作品纳入课程案例库；将“信息层级”设计要点整理为检查单供综合项目使用。</w:t>
            </w:r>
          </w:p>
          <w:p w14:paraId="31810B13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 w14:paraId="4573B72E">
      <w:pPr>
        <w:widowControl/>
        <w:jc w:val="left"/>
        <w:rPr>
          <w:rFonts w:hint="eastAsia"/>
        </w:rPr>
      </w:pPr>
    </w:p>
    <w:p w14:paraId="498B87DB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3FB9605E">
      <w:pPr>
        <w:jc w:val="center"/>
        <w:rPr>
          <w:rFonts w:hint="eastAsia" w:ascii="黑体" w:hAnsi="黑体" w:eastAsia="黑体" w:cs="Times New Roman"/>
          <w:sz w:val="28"/>
        </w:rPr>
      </w:pPr>
      <w:r>
        <w:rPr>
          <w:rFonts w:hint="eastAsia" w:ascii="黑体" w:hAnsi="黑体" w:eastAsia="黑体" w:cs="Times New Roman"/>
          <w:color w:val="000000"/>
          <w:sz w:val="28"/>
        </w:rPr>
        <w:t>项目P4 网络编程与数据采集   任务P4.1《多源工业数据采集与消息中间件系统》教学方案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4C3B994C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9D8473A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7EAC600C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236D6EF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7FE8D371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012591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4549A06B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6688CF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6B5A8A29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12F68A1A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547E8595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1班：第六周星期三下午1-4节</w:t>
            </w:r>
          </w:p>
        </w:tc>
      </w:tr>
      <w:tr w14:paraId="28AF7083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1A50604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1933534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企业车间部署了3台PLC控制器和1套云端调度系统，数据平台需要同时对接：通过Modbus协议每0.5秒轮询3台PLC的关键寄存器，同时订阅MQTT代理接收云端下发的调控指令，经去重、单位转换、异常检测后缓冲入库，要求采集率≥95%、吞吐量≥1000条/秒、连续运行≥8小时无故障。作为工业互联网工程师，需要构建多线程多源采集系统。</w:t>
            </w:r>
          </w:p>
        </w:tc>
      </w:tr>
      <w:tr w14:paraId="479F7032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88BBC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32E5E3C7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434ED9C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654A77B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3.微观：学生首次接触多线程编程，并发思维（同时运行、共享冲突）是重大跨越；MQTT回调与线程协作组合复杂度高；本任务工程量大，需按模块分工协作完成。</w:t>
            </w:r>
          </w:p>
        </w:tc>
      </w:tr>
      <w:tr w14:paraId="5B022C60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D9126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4DA5907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（1）Modbus寄存器读写与MQTT订阅发布集成；</w:t>
            </w:r>
          </w:p>
          <w:p w14:paraId="5979119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（2）多线程架构：采集/订阅/处理三线程+Queue缓冲；</w:t>
            </w:r>
          </w:p>
          <w:p w14:paraId="42BE960E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（3）工程可靠性：断线重连、数据校验、批量入库、日志监控。</w:t>
            </w:r>
          </w:p>
        </w:tc>
      </w:tr>
      <w:tr w14:paraId="739F38F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6D9D77F4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54596EA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（1）线程安全与共享状态保护（Queue的作用）；</w:t>
            </w:r>
          </w:p>
          <w:p w14:paraId="7704F20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（2）断线重连的状态机设计；</w:t>
            </w:r>
          </w:p>
          <w:p w14:paraId="0485DB1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（3）采集率/延迟/吞吐等性能指标的测量与优化。</w:t>
            </w:r>
          </w:p>
        </w:tc>
      </w:tr>
      <w:tr w14:paraId="7FFC4F66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2AB92A8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1747711C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728806B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067F3D8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1.教学资料：PLC模拟器一键脚本（3实例）、MQTT Broker部署包、线程架构图模板、性能压测工具、“拔网线”故障演练方案、工单P4.1任务书与评价量表；</w:t>
            </w:r>
          </w:p>
          <w:p w14:paraId="018622D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3.9+、pymodbus、paho-mqtt、threading/queue；</w:t>
            </w:r>
          </w:p>
          <w:p w14:paraId="79446AA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3.教学平台：课程在线平台（并发编程微课、架构参考）。</w:t>
            </w:r>
          </w:p>
        </w:tc>
      </w:tr>
      <w:tr w14:paraId="17282A3B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C997496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3A513D3F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598FD6FF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1414BA6C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75B5F022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B86B43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6D6F9996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（1）架构先行：先画线程架构图、定义Queue接口，再分工实现；</w:t>
            </w:r>
          </w:p>
          <w:p w14:paraId="7B78F4A5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（2）模拟器+压测工具让性能指标可量化验证；</w:t>
            </w:r>
          </w:p>
          <w:p w14:paraId="39F7A09E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（3）故障演练（拔网线/杀进程）检验重连与缓冲机制。</w:t>
            </w:r>
          </w:p>
        </w:tc>
      </w:tr>
      <w:tr w14:paraId="28E7670F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48DC2F3C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24F80ED6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（1）并发概念用“多窗口排队+传送带”类比（线程=窗口、Queue=传送带）；</w:t>
            </w:r>
          </w:p>
          <w:p w14:paraId="30FEBF14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（2）对C/D层提供单线程采集器基础版，逐步升级；</w:t>
            </w:r>
          </w:p>
          <w:p w14:paraId="62031475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（3）提供重连状态机参考实现，聚焦参数理解与测试。</w:t>
            </w:r>
          </w:p>
        </w:tc>
      </w:tr>
      <w:tr w14:paraId="725E638D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7186C34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6C20B62E">
        <w:trPr>
          <w:trHeight w:val="419" w:hRule="atLeast"/>
        </w:trPr>
        <w:tc>
          <w:tcPr>
            <w:tcW w:w="378" w:type="pct"/>
            <w:vAlign w:val="center"/>
          </w:tcPr>
          <w:p w14:paraId="079185B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4452D23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2EBC170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6AAB103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794BE2B9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4D6EF648">
        <w:trPr>
          <w:trHeight w:val="850" w:hRule="atLeast"/>
        </w:trPr>
        <w:tc>
          <w:tcPr>
            <w:tcW w:w="378" w:type="pct"/>
            <w:vAlign w:val="center"/>
          </w:tcPr>
          <w:p w14:paraId="2E3F6AD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42FB20DC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248C82D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417AFD9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5D175FA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6F663682">
        <w:trPr>
          <w:trHeight w:val="960" w:hRule="atLeast"/>
        </w:trPr>
        <w:tc>
          <w:tcPr>
            <w:tcW w:w="378" w:type="pct"/>
            <w:vAlign w:val="center"/>
          </w:tcPr>
          <w:p w14:paraId="03BA840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3F1EA33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69F9F0C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198BE6C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2DC476AB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37B79FF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53A32F2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3952815A">
        <w:trPr>
          <w:trHeight w:val="64" w:hRule="atLeast"/>
        </w:trPr>
        <w:tc>
          <w:tcPr>
            <w:tcW w:w="378" w:type="pct"/>
            <w:vAlign w:val="center"/>
          </w:tcPr>
          <w:p w14:paraId="66D64B5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2AF4B9C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精讲演示Modbus采集与MQTT订阅的线程实现；演示Queue缓冲与数据流贯通；现场评判操作质量；引导A操作、B操作、C记录、D观摩。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1AEB507F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A类学生完成三线程架构并跑通数据流；B类学生完成Modbus采集+处理线程；C类完成单PLC采集；D类观摩并完成MQTT收发练习。</w:t>
            </w:r>
          </w:p>
        </w:tc>
        <w:tc>
          <w:tcPr>
            <w:tcW w:w="956" w:type="pct"/>
            <w:gridSpan w:val="2"/>
            <w:vAlign w:val="center"/>
          </w:tcPr>
          <w:p w14:paraId="2A253CD8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掌握多源采集与线程协作机制；</w:t>
            </w:r>
          </w:p>
          <w:p w14:paraId="1452B123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形成采集系统架构样例。</w:t>
            </w:r>
          </w:p>
        </w:tc>
        <w:tc>
          <w:tcPr>
            <w:tcW w:w="484" w:type="pct"/>
            <w:vAlign w:val="center"/>
          </w:tcPr>
          <w:p w14:paraId="43959379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12F3236E">
        <w:trPr>
          <w:trHeight w:val="64" w:hRule="atLeast"/>
        </w:trPr>
        <w:tc>
          <w:tcPr>
            <w:tcW w:w="378" w:type="pct"/>
            <w:vAlign w:val="center"/>
          </w:tcPr>
          <w:p w14:paraId="7436184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77227CD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1612D8D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7099D353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66549BC1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2267B7BB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4089A6F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67ADC6DD">
        <w:trPr>
          <w:trHeight w:val="64" w:hRule="atLeast"/>
        </w:trPr>
        <w:tc>
          <w:tcPr>
            <w:tcW w:w="378" w:type="pct"/>
            <w:vAlign w:val="center"/>
          </w:tcPr>
          <w:p w14:paraId="67A0173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43E0F389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任务检查：检查B/C/D学生系统进度；回顾线程安全与重连要点；监督/评判；组织故障演练测试。</w:t>
            </w:r>
          </w:p>
        </w:tc>
        <w:tc>
          <w:tcPr>
            <w:tcW w:w="1277" w:type="pct"/>
            <w:gridSpan w:val="2"/>
            <w:vAlign w:val="center"/>
          </w:tcPr>
          <w:p w14:paraId="7C7828CF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B类学生完成多源采集系统并压测（采集率≥95%）；C/D类完成单源采集+MQTT上报版；A类学生优化至采集率≥99.5%、延迟&lt;100ms。</w:t>
            </w:r>
          </w:p>
        </w:tc>
        <w:tc>
          <w:tcPr>
            <w:tcW w:w="956" w:type="pct"/>
            <w:gridSpan w:val="2"/>
            <w:vAlign w:val="center"/>
          </w:tcPr>
          <w:p w14:paraId="3E196C83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完成工单P4.1并达标（采集率&gt;95%+无丢失+系统文档）。</w:t>
            </w:r>
          </w:p>
        </w:tc>
        <w:tc>
          <w:tcPr>
            <w:tcW w:w="484" w:type="pct"/>
            <w:vAlign w:val="center"/>
          </w:tcPr>
          <w:p w14:paraId="593D76CB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75min</w:t>
            </w:r>
          </w:p>
        </w:tc>
      </w:tr>
      <w:tr w14:paraId="40469F02">
        <w:trPr>
          <w:trHeight w:val="64" w:hRule="atLeast"/>
        </w:trPr>
        <w:tc>
          <w:tcPr>
            <w:tcW w:w="378" w:type="pct"/>
            <w:vAlign w:val="center"/>
          </w:tcPr>
          <w:p w14:paraId="4386ADC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3A794B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7CC32F9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6D99883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5734BB3C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4FE2E49B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1DF6C953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117FBC5E">
        <w:trPr>
          <w:trHeight w:val="411" w:hRule="atLeast"/>
        </w:trPr>
        <w:tc>
          <w:tcPr>
            <w:tcW w:w="378" w:type="pct"/>
            <w:vAlign w:val="center"/>
          </w:tcPr>
          <w:p w14:paraId="0F73D42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17E2F82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1F99F20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716624F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43D103DC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30F94921">
        <w:trPr>
          <w:trHeight w:val="64" w:hRule="atLeast"/>
        </w:trPr>
        <w:tc>
          <w:tcPr>
            <w:tcW w:w="378" w:type="pct"/>
            <w:vAlign w:val="center"/>
          </w:tcPr>
          <w:p w14:paraId="6CEA295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374B162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5F8F54C9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C/D类完成并发概念练习；A/B层挑战高可用设计（主从切换、故障转移）冲击超优标准；完善架构文档。</w:t>
            </w:r>
          </w:p>
        </w:tc>
        <w:tc>
          <w:tcPr>
            <w:tcW w:w="956" w:type="pct"/>
            <w:gridSpan w:val="2"/>
            <w:vAlign w:val="center"/>
          </w:tcPr>
          <w:p w14:paraId="6774E4A8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4CE04D35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648A63E7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26D7623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4CBC0586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4D7DD92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616B2C8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从采集率、数据完整性、线程安全设计、架构文档四个维度记录过程性数据；</w:t>
            </w:r>
          </w:p>
          <w:p w14:paraId="4A8175A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记录故障演练通过率与性能压测结果，评估工程可靠性意识。</w:t>
            </w:r>
          </w:p>
        </w:tc>
      </w:tr>
      <w:tr w14:paraId="51A2FF01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18309707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42E9CA68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针对线程安全误区（共享list无锁）建立“共享必问”检查习惯；</w:t>
            </w:r>
          </w:p>
          <w:p w14:paraId="187061AF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压测数据公示形成良性竞争；优秀架构方案纳入课程参考库。</w:t>
            </w:r>
          </w:p>
          <w:p w14:paraId="51202B38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 w14:paraId="2899AC8D">
      <w:pPr>
        <w:widowControl/>
        <w:jc w:val="left"/>
        <w:rPr>
          <w:rFonts w:hint="eastAsia"/>
        </w:rPr>
      </w:pPr>
    </w:p>
    <w:p w14:paraId="7A139D42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11655C9D">
      <w:pPr>
        <w:jc w:val="center"/>
        <w:rPr>
          <w:rFonts w:hint="eastAsia" w:ascii="黑体" w:hAnsi="黑体" w:eastAsia="黑体" w:cs="Times New Roman"/>
          <w:sz w:val="28"/>
        </w:rPr>
      </w:pPr>
      <w:r>
        <w:rPr>
          <w:rFonts w:hint="eastAsia" w:ascii="黑体" w:hAnsi="黑体" w:eastAsia="黑体" w:cs="Times New Roman"/>
          <w:color w:val="000000"/>
          <w:sz w:val="28"/>
        </w:rPr>
        <w:t>项目P5 数据库应用   任务P5.1/P5.2《产线数据仓库设计与ORM开发》教学方案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36CF94F0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EE4972A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00BA7F32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72D7681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30E0DC33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6F1AA73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72624349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45C96F3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6CE43700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75273B69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72D3D817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1班：第七周星期三下午1-4节</w:t>
            </w:r>
          </w:p>
        </w:tc>
      </w:tr>
      <w:tr w14:paraId="793A7B0F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616C2E4E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5E2CD7D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P4采集系统每日产生数十万条监测数据，仅靠文件存储已无法支撑统计分析与历史回溯。企业要求数据团队建设小型产线数据仓库：完成设备、测点、采集记录、告警事件四类表的ER设计，将采集数据通过SQLAlchemy ORM批量入库，并支撑KPI统计、故障溯源等复杂查询，同时完成索引优化与批量写入性能调优。</w:t>
            </w:r>
          </w:p>
        </w:tc>
      </w:tr>
      <w:tr w14:paraId="02798A1C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FA90FF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7ED5DDB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404ADCD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5017CE6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3.微观：多数学生首次系统学习数据库，SQL语法相对直白但JOIN与分组易错；ORM抽象（模型↔表映射）需要适应；本任务与P4数据接力，真实数据规模带来性能挑战。</w:t>
            </w:r>
          </w:p>
        </w:tc>
      </w:tr>
      <w:tr w14:paraId="4DF10C19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67ED814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1D1AD68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（1）ER建模：设备/测点/采集记录/告警事件四表设计；</w:t>
            </w:r>
          </w:p>
          <w:p w14:paraId="4819E1E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（2）SQL核心：JOIN、GROUP BY聚合、条件统计；</w:t>
            </w:r>
          </w:p>
          <w:p w14:paraId="4700CC3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（3）SQLAlchemy ORM：模型定义、会话、批量写入；</w:t>
            </w:r>
          </w:p>
          <w:p w14:paraId="2FE87148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（4）索引与EXPLAIN查询优化。</w:t>
            </w:r>
          </w:p>
        </w:tc>
      </w:tr>
      <w:tr w14:paraId="1338B437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7FA7C4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360A6D15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（1）一对多/多对多关系的表结构表达；</w:t>
            </w:r>
          </w:p>
          <w:p w14:paraId="7ABEC61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（2）N+1查询问题的识别与优化；</w:t>
            </w:r>
          </w:p>
          <w:p w14:paraId="1DD6811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（3）事务边界与批量写入的性能权衡。</w:t>
            </w:r>
          </w:p>
        </w:tc>
      </w:tr>
      <w:tr w14:paraId="7947ADD7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547E24C6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4745280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01DBF57D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3129CD2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1.教学资料：ER图模板与数据字典样例、SQL vs ORM双实现对照练习、EXPLAIN演示脚本、批量写入性能对比实验、工单P5任务书与评价量表；</w:t>
            </w:r>
          </w:p>
          <w:p w14:paraId="6596BBCB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2.设备环境：双创中心302实训室，Python 3.9+、SQLAlchemy、PostgreSQL/SQLite；</w:t>
            </w:r>
          </w:p>
          <w:p w14:paraId="4CDE2DB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3.教学平台：课程在线平台（SQL微课、在线SQL练习场）。</w:t>
            </w:r>
          </w:p>
        </w:tc>
      </w:tr>
      <w:tr w14:paraId="3B84856A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7BB8E6D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7A02F516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4E8CEDDF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52EEDC6C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5FBC004E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522BA2C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3B3FE45D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（1）项目接力：以P4采集数据为真实入库对象，学以致用；</w:t>
            </w:r>
          </w:p>
          <w:p w14:paraId="1AE0EC9B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（2）双实现对照（SQL/ORM）理解抽象层代价与收益；</w:t>
            </w:r>
          </w:p>
          <w:p w14:paraId="384F6941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（3）EXPLAIN演示有无索引的查询差异，优化看得见。</w:t>
            </w:r>
          </w:p>
        </w:tc>
      </w:tr>
      <w:tr w14:paraId="4CA83899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78B7199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23B6694C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（1）关系建模用“设备-测点”实物类比（一台设备多个探头）；</w:t>
            </w:r>
          </w:p>
          <w:p w14:paraId="04416327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（2）对C/D层提供建表脚本，聚焦SQL查询与ORM入库；</w:t>
            </w:r>
          </w:p>
          <w:p w14:paraId="2DC8DF94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（3）N+1问题用日志演示查询次数，直观暴露性能陷阱。</w:t>
            </w:r>
          </w:p>
        </w:tc>
      </w:tr>
      <w:tr w14:paraId="20D28A61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B6EFF6E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6B1991B1">
        <w:trPr>
          <w:trHeight w:val="419" w:hRule="atLeast"/>
        </w:trPr>
        <w:tc>
          <w:tcPr>
            <w:tcW w:w="378" w:type="pct"/>
            <w:vAlign w:val="center"/>
          </w:tcPr>
          <w:p w14:paraId="262C268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3EBFF58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666675A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697AEE4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00DE5824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2B5DFD70">
        <w:trPr>
          <w:trHeight w:val="850" w:hRule="atLeast"/>
        </w:trPr>
        <w:tc>
          <w:tcPr>
            <w:tcW w:w="378" w:type="pct"/>
            <w:vAlign w:val="center"/>
          </w:tcPr>
          <w:p w14:paraId="01CDE27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11107A9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338EEC2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1F154F4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6C4F9EF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76532157">
        <w:trPr>
          <w:trHeight w:val="960" w:hRule="atLeast"/>
        </w:trPr>
        <w:tc>
          <w:tcPr>
            <w:tcW w:w="378" w:type="pct"/>
            <w:vAlign w:val="center"/>
          </w:tcPr>
          <w:p w14:paraId="3388849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534284A1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165F1B2B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0579C0A4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14699926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7868EEB8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5FF9DB4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6810C72F">
        <w:trPr>
          <w:trHeight w:val="64" w:hRule="atLeast"/>
        </w:trPr>
        <w:tc>
          <w:tcPr>
            <w:tcW w:w="378" w:type="pct"/>
            <w:vAlign w:val="center"/>
          </w:tcPr>
          <w:p w14:paraId="50E34492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6271E0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精讲演示ER建模与SQL核心查询；演示ORM模型定义与会话操作；现场评判操作质量；引导A操作、B操作、C记录、D观摩。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3818E81D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A类学生完成四表ER设计+ORM模型并跑通入库；B类学生完成建表与基础查询；C类完成单表查询练习；D类观摩并完成SQLite入门操作。</w:t>
            </w:r>
          </w:p>
        </w:tc>
        <w:tc>
          <w:tcPr>
            <w:tcW w:w="956" w:type="pct"/>
            <w:gridSpan w:val="2"/>
            <w:vAlign w:val="center"/>
          </w:tcPr>
          <w:p w14:paraId="0F1FB467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掌握数据库建模与ORM基本方法；</w:t>
            </w:r>
          </w:p>
          <w:p w14:paraId="494D643A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形成数据仓库雏形。</w:t>
            </w:r>
          </w:p>
        </w:tc>
        <w:tc>
          <w:tcPr>
            <w:tcW w:w="484" w:type="pct"/>
            <w:vAlign w:val="center"/>
          </w:tcPr>
          <w:p w14:paraId="1A31E167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6BAFFFEA">
        <w:trPr>
          <w:trHeight w:val="64" w:hRule="atLeast"/>
        </w:trPr>
        <w:tc>
          <w:tcPr>
            <w:tcW w:w="378" w:type="pct"/>
            <w:vAlign w:val="center"/>
          </w:tcPr>
          <w:p w14:paraId="558BE48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72EFFDA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73A2D48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1C294E5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10A47A1A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4A5E3188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3A74478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0A7F034F">
        <w:trPr>
          <w:trHeight w:val="64" w:hRule="atLeast"/>
        </w:trPr>
        <w:tc>
          <w:tcPr>
            <w:tcW w:w="378" w:type="pct"/>
            <w:vAlign w:val="center"/>
          </w:tcPr>
          <w:p w14:paraId="701FFFF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DE109F1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任务检查：检查B/C/D学生进度；回顾JOIN与批量写入要点；监督/评判；巡回指导排错。</w:t>
            </w:r>
          </w:p>
        </w:tc>
        <w:tc>
          <w:tcPr>
            <w:tcW w:w="1277" w:type="pct"/>
            <w:gridSpan w:val="2"/>
            <w:vAlign w:val="center"/>
          </w:tcPr>
          <w:p w14:paraId="4A9AAB8D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B类学生完成ORM入库+统计查询（KPI/故障溯源）；C/D类完成基础入库与查询；A类学生完成索引优化与批量写入调优。</w:t>
            </w:r>
          </w:p>
        </w:tc>
        <w:tc>
          <w:tcPr>
            <w:tcW w:w="956" w:type="pct"/>
            <w:gridSpan w:val="2"/>
            <w:vAlign w:val="center"/>
          </w:tcPr>
          <w:p w14:paraId="648465CA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完成工单P5并达标（4表合理+ORM入库+统计查询可用）。</w:t>
            </w:r>
          </w:p>
        </w:tc>
        <w:tc>
          <w:tcPr>
            <w:tcW w:w="484" w:type="pct"/>
            <w:vAlign w:val="center"/>
          </w:tcPr>
          <w:p w14:paraId="4B4E7E7C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75min</w:t>
            </w:r>
          </w:p>
        </w:tc>
      </w:tr>
      <w:tr w14:paraId="6D4BE272">
        <w:trPr>
          <w:trHeight w:val="64" w:hRule="atLeast"/>
        </w:trPr>
        <w:tc>
          <w:tcPr>
            <w:tcW w:w="378" w:type="pct"/>
            <w:vAlign w:val="center"/>
          </w:tcPr>
          <w:p w14:paraId="7F24958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145304B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6E6931F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62A7FC33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3F637F1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7D0FE585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44E856D7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17254C8D">
        <w:trPr>
          <w:trHeight w:val="411" w:hRule="atLeast"/>
        </w:trPr>
        <w:tc>
          <w:tcPr>
            <w:tcW w:w="378" w:type="pct"/>
            <w:vAlign w:val="center"/>
          </w:tcPr>
          <w:p w14:paraId="18DDF501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01A6AC09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64C1CB1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3BE499B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580DB387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0DE80535">
        <w:trPr>
          <w:trHeight w:val="64" w:hRule="atLeast"/>
        </w:trPr>
        <w:tc>
          <w:tcPr>
            <w:tcW w:w="378" w:type="pct"/>
            <w:vAlign w:val="center"/>
          </w:tcPr>
          <w:p w14:paraId="1C14C3E4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74853BBC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64C1E77E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C/D类完成SQL练习集；A/B类实现复杂查询优化与数据字典文档（超优标准）；整理ER图文档。</w:t>
            </w:r>
          </w:p>
        </w:tc>
        <w:tc>
          <w:tcPr>
            <w:tcW w:w="956" w:type="pct"/>
            <w:gridSpan w:val="2"/>
            <w:vAlign w:val="center"/>
          </w:tcPr>
          <w:p w14:paraId="71A97E72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1E0AE15B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tr w14:paraId="373322DD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664013AE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59E83E76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4A0F130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40E7DD7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从表设计合理性、查询正确性、写入性能、文档完整性四个维度记录过程性数据；</w:t>
            </w:r>
          </w:p>
          <w:p w14:paraId="7943CE4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统计JOIN与N+1类错误率，评估数据库教学成效。</w:t>
            </w:r>
          </w:p>
        </w:tc>
      </w:tr>
      <w:tr w14:paraId="65F20F33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5E914625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166D8C93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针对JOIN混淆建立“关系类型决策卡”；</w:t>
            </w:r>
          </w:p>
          <w:p w14:paraId="6BDF5B2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将数据仓库接入P3仪表盘形成“采集→入库→展示”闭环演示，强化系统观。</w:t>
            </w:r>
          </w:p>
          <w:p w14:paraId="0033A5D9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 w14:paraId="62E872A8">
      <w:pPr>
        <w:widowControl/>
        <w:jc w:val="left"/>
        <w:rPr>
          <w:rFonts w:hint="eastAsia"/>
        </w:rPr>
      </w:pPr>
    </w:p>
    <w:p w14:paraId="029F1AD3">
      <w:pPr>
        <w:widowControl/>
        <w:jc w:val="left"/>
        <w:rPr>
          <w:rFonts w:hint="eastAsia" w:ascii="黑体" w:hAnsi="黑体" w:eastAsia="黑体" w:cs="Times New Roman"/>
          <w:sz w:val="28"/>
        </w:rPr>
      </w:pPr>
      <w:r>
        <w:rPr>
          <w:rFonts w:ascii="黑体" w:hAnsi="黑体" w:eastAsia="黑体" w:cs="Times New Roman"/>
          <w:sz w:val="28"/>
        </w:rPr>
        <w:br w:type="page"/>
      </w:r>
    </w:p>
    <w:p w14:paraId="303A4762">
      <w:pPr>
        <w:jc w:val="center"/>
        <w:rPr>
          <w:rFonts w:hint="eastAsia" w:ascii="黑体" w:hAnsi="黑体" w:eastAsia="黑体" w:cs="Times New Roman"/>
          <w:sz w:val="28"/>
        </w:rPr>
      </w:pPr>
      <w:r>
        <w:rPr>
          <w:rFonts w:hint="eastAsia" w:ascii="黑体" w:hAnsi="黑体" w:eastAsia="黑体" w:cs="Times New Roman"/>
          <w:color w:val="000000"/>
          <w:sz w:val="28"/>
        </w:rPr>
        <w:t>项目P6 机器学习应用   任务P6.1/P6.2《故障诊断模型与边缘部署》教学方案</w:t>
      </w:r>
    </w:p>
    <w:tbl>
      <w:tblPr>
        <w:tblStyle w:val="19"/>
        <w:tblW w:w="5010" w:type="pct"/>
        <w:tblInd w:w="0" w:type="dxa"/>
        <w:tblBorders>
          <w:top w:val="single" w:color="00B0F0" w:sz="4" w:space="0"/>
          <w:left w:val="single" w:color="00B0F0" w:sz="4" w:space="0"/>
          <w:bottom w:val="single" w:color="00B0F0" w:sz="4" w:space="0"/>
          <w:right w:val="single" w:color="00B0F0" w:sz="4" w:space="0"/>
          <w:insideH w:val="single" w:color="00B0F0" w:sz="4" w:space="0"/>
          <w:insideV w:val="single" w:color="00B0F0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119"/>
        <w:gridCol w:w="516"/>
        <w:gridCol w:w="2821"/>
        <w:gridCol w:w="1298"/>
        <w:gridCol w:w="1005"/>
        <w:gridCol w:w="1328"/>
        <w:gridCol w:w="2456"/>
        <w:gridCol w:w="1242"/>
        <w:gridCol w:w="1591"/>
        <w:gridCol w:w="1440"/>
      </w:tblGrid>
      <w:tr w14:paraId="1D5833E6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255B386B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一、</w:t>
            </w: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任务</w:t>
            </w: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分析</w:t>
            </w:r>
          </w:p>
        </w:tc>
      </w:tr>
      <w:tr w14:paraId="42DDF5B3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79A686ED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形式</w:t>
            </w:r>
          </w:p>
        </w:tc>
        <w:tc>
          <w:tcPr>
            <w:tcW w:w="952" w:type="pct"/>
            <w:vAlign w:val="center"/>
          </w:tcPr>
          <w:p w14:paraId="1EB2A23E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理实一体</w:t>
            </w:r>
          </w:p>
        </w:tc>
        <w:tc>
          <w:tcPr>
            <w:tcW w:w="438" w:type="pct"/>
            <w:vAlign w:val="center"/>
          </w:tcPr>
          <w:p w14:paraId="4048A96F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课时</w:t>
            </w:r>
          </w:p>
        </w:tc>
        <w:tc>
          <w:tcPr>
            <w:tcW w:w="339" w:type="pct"/>
            <w:vAlign w:val="center"/>
          </w:tcPr>
          <w:p w14:paraId="464C5BAB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4</w:t>
            </w:r>
          </w:p>
        </w:tc>
        <w:tc>
          <w:tcPr>
            <w:tcW w:w="448" w:type="pct"/>
            <w:vAlign w:val="center"/>
          </w:tcPr>
          <w:p w14:paraId="3333E6D9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地点</w:t>
            </w:r>
          </w:p>
        </w:tc>
        <w:tc>
          <w:tcPr>
            <w:tcW w:w="828" w:type="pct"/>
            <w:vAlign w:val="center"/>
          </w:tcPr>
          <w:p w14:paraId="25BC63CC">
            <w:pPr>
              <w:spacing w:line="320" w:lineRule="exac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双创中心302实训室</w:t>
            </w:r>
          </w:p>
        </w:tc>
        <w:tc>
          <w:tcPr>
            <w:tcW w:w="419" w:type="pct"/>
            <w:vAlign w:val="center"/>
          </w:tcPr>
          <w:p w14:paraId="29A4067B">
            <w:pPr>
              <w:spacing w:line="320" w:lineRule="exact"/>
              <w:jc w:val="center"/>
              <w:rPr>
                <w:rFonts w:ascii="Times New Roman" w:hAnsi="Times New Roman" w:eastAsia="微软雅黑" w:cs="Times New Roman"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时间</w:t>
            </w:r>
          </w:p>
        </w:tc>
        <w:tc>
          <w:tcPr>
            <w:tcW w:w="1021" w:type="pct"/>
            <w:gridSpan w:val="2"/>
            <w:vAlign w:val="center"/>
          </w:tcPr>
          <w:p w14:paraId="0CA460CF">
            <w:pPr>
              <w:snapToGrid w:val="0"/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</w:rPr>
              <w:t>1班：第八周星期三下午1-4节</w:t>
            </w:r>
          </w:p>
        </w:tc>
      </w:tr>
      <w:tr w14:paraId="05825319">
        <w:trPr>
          <w:trHeight w:val="404" w:hRule="atLeast"/>
        </w:trPr>
        <w:tc>
          <w:tcPr>
            <w:tcW w:w="552" w:type="pct"/>
            <w:gridSpan w:val="2"/>
            <w:vAlign w:val="center"/>
          </w:tcPr>
          <w:p w14:paraId="3857D0C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描述</w:t>
            </w:r>
          </w:p>
        </w:tc>
        <w:tc>
          <w:tcPr>
            <w:tcW w:w="4447" w:type="pct"/>
            <w:gridSpan w:val="8"/>
            <w:vAlign w:val="center"/>
          </w:tcPr>
          <w:p w14:paraId="424FF09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设备管理部希望将P2.2提取的30维振动特征转化为诊断能力：训练故障分类模型（正常/轴承磨损/叶轮堵塞等类别），实现F1≥0.80的自动诊断，并接入P5数据仓库对新采集数据实时诊断。同时，质检工位需要一套缺陷检测能力：将预训练视觉模型迁移部署为边缘推理服务（ONNX），满足产线节拍要求。作为数据工程师，需完成模型训练、评估、导出与服务化部署全流程。</w:t>
            </w:r>
          </w:p>
        </w:tc>
      </w:tr>
      <w:tr w14:paraId="5C1C26C2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70184BB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hint="eastAsia"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学情</w:t>
            </w:r>
          </w:p>
        </w:tc>
        <w:tc>
          <w:tcPr>
            <w:tcW w:w="4447" w:type="pct"/>
            <w:gridSpan w:val="8"/>
            <w:vAlign w:val="center"/>
          </w:tcPr>
          <w:p w14:paraId="283BEB2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1.宏观：意愿好能力强A（师傅）占比20%、意愿好能力弱B（组长）占比25%、意愿一般C（操作员）占比40%、无意愿D（学徒）占比15%；</w:t>
            </w:r>
          </w:p>
          <w:p w14:paraId="16A0442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2.中观：授课对象为大二学生，已修《C语言编程基础》（控制流、函数、指针、结构体、文件I/O），具备基本编程逻辑；部分学生选修过《Python编程基础》，多数依赖本课第1-2周的集中补强；实行项目驱动+融合式教学；</w:t>
            </w:r>
          </w:p>
          <w:p w14:paraId="32575EB4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3.微观：学生在《AI应用基础》或自学中接触过机器学习概念，本课聚焦工程化闭环（训练→评估→保存→部署）；模型服务化（API接口、版本管理）是全新工程视角；本课为8周收官，需同步总结与综合项目（P7）衔接。</w:t>
            </w:r>
          </w:p>
        </w:tc>
      </w:tr>
      <w:tr w14:paraId="4D74A4AB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295C0854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重点</w:t>
            </w:r>
          </w:p>
        </w:tc>
        <w:tc>
          <w:tcPr>
            <w:tcW w:w="4447" w:type="pct"/>
            <w:gridSpan w:val="8"/>
            <w:vAlign w:val="center"/>
          </w:tcPr>
          <w:p w14:paraId="0ED6511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（1）Scikit-learn分类建模五步流程（划分/训练/验证/调参/保存）；</w:t>
            </w:r>
          </w:p>
          <w:p w14:paraId="47975170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（2）交叉验证、混淆矩阵与F1评估；</w:t>
            </w:r>
          </w:p>
          <w:p w14:paraId="2032F26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（3）模型导出（joblib/ONNX）与推理服务封装；</w:t>
            </w:r>
          </w:p>
          <w:p w14:paraId="5D8C5061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（4）边缘部署要点：延迟、吞吐、版本管理。</w:t>
            </w:r>
          </w:p>
        </w:tc>
      </w:tr>
      <w:tr w14:paraId="7109817C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3FB4D800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</w:pPr>
            <w:r>
              <w:rPr>
                <w:rFonts w:ascii="Times New Roman" w:hAnsi="Times New Roman" w:eastAsia="黑体" w:cs="Times New Roman"/>
                <w:bCs/>
                <w:color w:val="000000" w:themeColor="text1"/>
                <w:kern w:val="0"/>
                <w:sz w:val="24"/>
                <w:szCs w:val="20"/>
                <w14:textFill>
                  <w14:solidFill>
                    <w14:schemeClr w14:val="tx1"/>
                  </w14:solidFill>
                </w14:textFill>
              </w:rPr>
              <w:t>难点</w:t>
            </w:r>
          </w:p>
        </w:tc>
        <w:tc>
          <w:tcPr>
            <w:tcW w:w="4447" w:type="pct"/>
            <w:gridSpan w:val="8"/>
            <w:vAlign w:val="center"/>
          </w:tcPr>
          <w:p w14:paraId="2E0C3BCC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（1）过拟合与欠拟合的识别与应对；</w:t>
            </w:r>
          </w:p>
          <w:p w14:paraId="0181061A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（2）类别不均衡的处理策略；</w:t>
            </w:r>
          </w:p>
          <w:p w14:paraId="0AEF244F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（3）模型服务化后的性能瓶颈定位。</w:t>
            </w:r>
          </w:p>
        </w:tc>
      </w:tr>
      <w:tr w14:paraId="0DFA0405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038842C9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二、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任务完成</w:t>
            </w: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策略</w:t>
            </w:r>
          </w:p>
        </w:tc>
      </w:tr>
      <w:tr w14:paraId="0534D6C7">
        <w:trPr>
          <w:trHeight w:val="90" w:hRule="atLeast"/>
        </w:trPr>
        <w:tc>
          <w:tcPr>
            <w:tcW w:w="552" w:type="pct"/>
            <w:gridSpan w:val="2"/>
            <w:vAlign w:val="center"/>
          </w:tcPr>
          <w:p w14:paraId="34FC3DB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资源</w:t>
            </w:r>
          </w:p>
        </w:tc>
        <w:tc>
          <w:tcPr>
            <w:tcW w:w="4447" w:type="pct"/>
            <w:gridSpan w:val="8"/>
            <w:vAlign w:val="center"/>
          </w:tcPr>
          <w:p w14:paraId="7C9BE5A6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教学资料：P2.2特征数据集（已标注）、预训练模型包（诊断模型+缺陷检测ONNX，教师端训练产出、离线分发，训练与推理分离）、训练/评估/导出三段式代码骨架、ONNX部署示例、混淆矩阵可视化脚本、工单P6任务书与评价量表、P7综合项目选题指南；</w:t>
            </w:r>
          </w:p>
          <w:p w14:paraId="186E180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2.设备环境：双创中心302实训室（CPU机房可完整实施），Python 3.9+、scikit-learn、onnxruntime、joblib；</w:t>
            </w:r>
          </w:p>
          <w:p w14:paraId="03E604C9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3.教学平台：课程在线平台（机器学习工程化微课、GPU端训练过程演示回放视频、部署示例）。</w:t>
            </w:r>
            <w:bookmarkEnd w:id="1"/>
            <w:bookmarkEnd w:id="2"/>
            <w:bookmarkEnd w:id="3"/>
            <w:bookmarkEnd w:id="4"/>
          </w:p>
        </w:tc>
      </w:tr>
      <w:tr w14:paraId="42EE8CBF">
        <w:trPr>
          <w:trHeight w:val="383" w:hRule="atLeast"/>
        </w:trPr>
        <w:tc>
          <w:tcPr>
            <w:tcW w:w="552" w:type="pct"/>
            <w:gridSpan w:val="2"/>
            <w:vAlign w:val="center"/>
          </w:tcPr>
          <w:p w14:paraId="5BF52712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方法与手段</w:t>
            </w:r>
          </w:p>
        </w:tc>
        <w:tc>
          <w:tcPr>
            <w:tcW w:w="4447" w:type="pct"/>
            <w:gridSpan w:val="8"/>
            <w:vAlign w:val="center"/>
          </w:tcPr>
          <w:p w14:paraId="73F861A4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课前（六步之“资讯·计划”）：教师/师傅(A)/组长(B)发布工单、项目背景资料、线上导学单与代码骨架仓库（Python 3.9+、Git、离线依赖包）；学生克隆仓库、完成预习自测并提交初步实施计划；</w:t>
            </w:r>
          </w:p>
          <w:p w14:paraId="6FB512A3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中：决策（备选方案对比→决策矩阵打分→决策结论公示→与实施绑定，实施失误回溯决策复盘）→两轮实施（骨架先行，聚焦集成与优化；知识点按需即时补充，融合式教学）→检查（自检—互检—师查三层质检）→评价（量表+代码评审意见）；A类学生示范讲解（费曼学习法：以教代学）；</w:t>
            </w:r>
          </w:p>
          <w:p w14:paraId="3BAECA29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课后：工单24小时内反馈（代码评审意见：PEP 8/命名/注释/性能四项）；C/D层完成补强任务，A/B层完成性能优化与拓展任务；更新ABCD角色轮换与组内贡献记录。</w:t>
            </w:r>
          </w:p>
        </w:tc>
      </w:tr>
      <w:tr w14:paraId="7B31B5D6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0BC99CAA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重点措施</w:t>
            </w:r>
          </w:p>
        </w:tc>
        <w:tc>
          <w:tcPr>
            <w:tcW w:w="4447" w:type="pct"/>
            <w:gridSpan w:val="8"/>
            <w:vAlign w:val="center"/>
          </w:tcPr>
          <w:p w14:paraId="253242B0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（1）全程复用P2.2特征与P5数据库，项目接力形成端到端闭环；</w:t>
            </w:r>
          </w:p>
          <w:p w14:paraId="485FAB6F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（2）三段式代码骨架（训练/评估/导出）与预训练模型包配合，骨架先行聚焦调参与集成；</w:t>
            </w:r>
          </w:p>
          <w:p w14:paraId="357D3440">
            <w:pPr>
              <w:spacing w:line="320" w:lineRule="exact"/>
              <w:outlineLvl w:val="1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</w:rPr>
              <w:t>（3）混淆矩阵热力图直观呈现误判模式，指导针对性优化。</w:t>
            </w:r>
          </w:p>
        </w:tc>
      </w:tr>
      <w:tr w14:paraId="3BC54FB5">
        <w:trPr>
          <w:trHeight w:val="64" w:hRule="atLeast"/>
        </w:trPr>
        <w:tc>
          <w:tcPr>
            <w:tcW w:w="552" w:type="pct"/>
            <w:gridSpan w:val="2"/>
            <w:vAlign w:val="center"/>
          </w:tcPr>
          <w:p w14:paraId="17DA0773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难点措施</w:t>
            </w:r>
          </w:p>
        </w:tc>
        <w:tc>
          <w:tcPr>
            <w:tcW w:w="4447" w:type="pct"/>
            <w:gridSpan w:val="8"/>
            <w:vAlign w:val="center"/>
          </w:tcPr>
          <w:p w14:paraId="0D9D73C3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（1）过拟合用“刷题家vs理解者”类比+学习曲线图讲解；</w:t>
            </w:r>
          </w:p>
          <w:p w14:paraId="46B49E17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（2）对C/D层提供已训练模型，聚焦部署与调用环节；</w:t>
            </w:r>
          </w:p>
          <w:p w14:paraId="3773433D">
            <w:pPr>
              <w:spacing w:line="320" w:lineRule="exact"/>
              <w:outlineLvl w:val="1"/>
              <w:rPr>
                <w:rFonts w:ascii="Times New Roman" w:hAnsi="Times New Roman" w:eastAsia="方正仿宋_GBK" w:cs="Times New Roman"/>
                <w:kern w:val="0"/>
                <w:szCs w:val="21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1"/>
                <w:lang w:val="en-US" w:eastAsia="zh-CN"/>
              </w:rPr>
              <w:t>（3）部署性能用压测脚本量化（延迟/吞吐），问题可定位。</w:t>
            </w:r>
          </w:p>
        </w:tc>
      </w:tr>
      <w:tr w14:paraId="7A3E1CEC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351E722C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三、</w:t>
            </w:r>
            <w:r>
              <w:rPr>
                <w:rFonts w:hint="eastAsia" w:ascii="Times New Roman" w:hAnsi="Times New Roman" w:eastAsia="黑体" w:cs="Times New Roman"/>
                <w:bCs/>
                <w:color w:val="000000"/>
                <w:kern w:val="0"/>
                <w:sz w:val="24"/>
                <w:szCs w:val="20"/>
              </w:rPr>
              <w:t>任务实施</w:t>
            </w:r>
          </w:p>
        </w:tc>
      </w:tr>
      <w:tr w14:paraId="5E1164CB">
        <w:trPr>
          <w:trHeight w:val="419" w:hRule="atLeast"/>
        </w:trPr>
        <w:tc>
          <w:tcPr>
            <w:tcW w:w="378" w:type="pct"/>
            <w:vAlign w:val="center"/>
          </w:tcPr>
          <w:p w14:paraId="44EDFBC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任务流程</w:t>
            </w:r>
          </w:p>
        </w:tc>
        <w:tc>
          <w:tcPr>
            <w:tcW w:w="1903" w:type="pct"/>
            <w:gridSpan w:val="4"/>
            <w:vAlign w:val="center"/>
          </w:tcPr>
          <w:p w14:paraId="35457D8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教师行为</w:t>
            </w:r>
          </w:p>
        </w:tc>
        <w:tc>
          <w:tcPr>
            <w:tcW w:w="1277" w:type="pct"/>
            <w:gridSpan w:val="2"/>
            <w:vAlign w:val="center"/>
          </w:tcPr>
          <w:p w14:paraId="7E3D759F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学生行为</w:t>
            </w:r>
          </w:p>
        </w:tc>
        <w:tc>
          <w:tcPr>
            <w:tcW w:w="956" w:type="pct"/>
            <w:gridSpan w:val="2"/>
            <w:vAlign w:val="center"/>
          </w:tcPr>
          <w:p w14:paraId="2573BC9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b/>
                <w:bCs/>
                <w:kern w:val="0"/>
                <w:szCs w:val="20"/>
              </w:rPr>
              <w:t>节点目标</w:t>
            </w:r>
          </w:p>
        </w:tc>
        <w:tc>
          <w:tcPr>
            <w:tcW w:w="484" w:type="pct"/>
            <w:vAlign w:val="center"/>
          </w:tcPr>
          <w:p w14:paraId="5F883380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仿宋" w:cs="Times New Roman"/>
                <w:b/>
                <w:bCs/>
                <w:kern w:val="0"/>
                <w:sz w:val="20"/>
                <w:szCs w:val="20"/>
              </w:rPr>
              <w:t>学时</w:t>
            </w:r>
          </w:p>
        </w:tc>
      </w:tr>
      <w:tr w14:paraId="382D6076">
        <w:trPr>
          <w:trHeight w:val="850" w:hRule="atLeast"/>
        </w:trPr>
        <w:tc>
          <w:tcPr>
            <w:tcW w:w="378" w:type="pct"/>
            <w:vAlign w:val="center"/>
          </w:tcPr>
          <w:p w14:paraId="55604218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课前准备</w:t>
            </w:r>
          </w:p>
        </w:tc>
        <w:tc>
          <w:tcPr>
            <w:tcW w:w="1903" w:type="pct"/>
            <w:gridSpan w:val="4"/>
            <w:vAlign w:val="center"/>
          </w:tcPr>
          <w:p w14:paraId="4B2ED27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发布任务书/工单与评价标准；准备演示代码、数据集与虚拟产线环境；检查学生机环境与Git仓库。</w:t>
            </w:r>
          </w:p>
        </w:tc>
        <w:tc>
          <w:tcPr>
            <w:tcW w:w="1277" w:type="pct"/>
            <w:gridSpan w:val="2"/>
            <w:vAlign w:val="center"/>
          </w:tcPr>
          <w:p w14:paraId="43B778D6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A/B类克隆工程模板并完成环境自检；C/D类观看预习视频并记录疑问；A类尝试预习任务并准备示范要点。</w:t>
            </w:r>
          </w:p>
        </w:tc>
        <w:tc>
          <w:tcPr>
            <w:tcW w:w="956" w:type="pct"/>
            <w:gridSpan w:val="2"/>
            <w:vAlign w:val="center"/>
          </w:tcPr>
          <w:p w14:paraId="4D071B22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</w:rPr>
              <w:t>完成预习与资源到位</w:t>
            </w:r>
          </w:p>
        </w:tc>
        <w:tc>
          <w:tcPr>
            <w:tcW w:w="484" w:type="pct"/>
            <w:vAlign w:val="center"/>
          </w:tcPr>
          <w:p w14:paraId="4C69DD81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default" w:ascii="Times New Roman" w:hAnsi="Times New Roman" w:eastAsia="仿宋" w:cs="Times New Roman"/>
                <w:kern w:val="0"/>
                <w:sz w:val="20"/>
                <w:szCs w:val="20"/>
                <w:lang w:val="en-US"/>
              </w:rPr>
            </w:pPr>
            <w:r>
              <w:rPr>
                <w:rFonts w:ascii="NotoSerifSC-ExtraLight" w:hAnsi="NotoSerifSC-ExtraLight" w:eastAsia="NotoSerifSC-ExtraLight" w:cs="NotoSerifSC-ExtraLight"/>
                <w:color w:val="000000"/>
                <w:kern w:val="0"/>
                <w:sz w:val="22"/>
                <w:szCs w:val="22"/>
                <w:lang w:val="en-US" w:eastAsia="zh-CN" w:bidi="ar"/>
              </w:rPr>
              <w:t xml:space="preserve"> 课前</w:t>
            </w:r>
          </w:p>
        </w:tc>
      </w:tr>
      <w:tr w14:paraId="28641EAF">
        <w:trPr>
          <w:trHeight w:val="960" w:hRule="atLeast"/>
        </w:trPr>
        <w:tc>
          <w:tcPr>
            <w:tcW w:w="378" w:type="pct"/>
            <w:vAlign w:val="center"/>
          </w:tcPr>
          <w:p w14:paraId="17E9E34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任务导入</w:t>
            </w:r>
          </w:p>
        </w:tc>
        <w:tc>
          <w:tcPr>
            <w:tcW w:w="1903" w:type="pct"/>
            <w:gridSpan w:val="4"/>
            <w:vAlign w:val="center"/>
          </w:tcPr>
          <w:p w14:paraId="1643551E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情境导入（企业项目需求/真实数据/问题驱动）；明确本任务交付物与验收标准；提示工程规范要求。</w:t>
            </w:r>
          </w:p>
        </w:tc>
        <w:tc>
          <w:tcPr>
            <w:tcW w:w="1277" w:type="pct"/>
            <w:gridSpan w:val="2"/>
            <w:vAlign w:val="center"/>
          </w:tcPr>
          <w:p w14:paraId="288CA47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围绕任务书进行要点提取；小组讨论“交付标准+风险点”，制定实施计划。</w:t>
            </w:r>
          </w:p>
        </w:tc>
        <w:tc>
          <w:tcPr>
            <w:tcW w:w="956" w:type="pct"/>
            <w:gridSpan w:val="2"/>
            <w:vAlign w:val="center"/>
          </w:tcPr>
          <w:p w14:paraId="2F64B1C8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建立任务目标与工程代入感</w:t>
            </w:r>
          </w:p>
        </w:tc>
        <w:tc>
          <w:tcPr>
            <w:tcW w:w="484" w:type="pct"/>
            <w:vAlign w:val="center"/>
          </w:tcPr>
          <w:p w14:paraId="645BFFF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15min</w:t>
            </w:r>
          </w:p>
        </w:tc>
      </w:tr>
      <w:tr w14:paraId="153BFD97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5E0CCDBD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第一轮</w:t>
            </w:r>
          </w:p>
        </w:tc>
      </w:tr>
      <w:tr w14:paraId="7B3D821F">
        <w:trPr>
          <w:trHeight w:val="64" w:hRule="atLeast"/>
        </w:trPr>
        <w:tc>
          <w:tcPr>
            <w:tcW w:w="378" w:type="pct"/>
            <w:vAlign w:val="center"/>
          </w:tcPr>
          <w:p w14:paraId="48CC4F86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DC15489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精讲演示分类建模五步流程与模型保存；演示推理接口封装与调用；现场评判操作质量；引导A操作、B操作、C记录、D观摩。</w:t>
            </w:r>
          </w:p>
        </w:tc>
        <w:tc>
          <w:tcPr>
            <w:tcW w:w="1277" w:type="pct"/>
            <w:gridSpan w:val="2"/>
            <w:vAlign w:val="center"/>
          </w:tcPr>
          <w:p w14:paraId="5A349DBA">
            <w:pPr>
              <w:keepNext w:val="0"/>
              <w:keepLines w:val="0"/>
              <w:widowControl/>
              <w:suppressLineNumbers w:val="0"/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 w:val="20"/>
                <w:szCs w:val="20"/>
                <w:lang w:val="en-US" w:eastAsia="zh-CN"/>
              </w:rPr>
              <w:t>A类学生完成模型训练调优（F1≥0.85）并导出；B类学生完成基线模型训练与评估；C类完成模型加载与预测练习；D类观摩并记录部署流程。</w:t>
            </w:r>
          </w:p>
        </w:tc>
        <w:tc>
          <w:tcPr>
            <w:tcW w:w="956" w:type="pct"/>
            <w:gridSpan w:val="2"/>
            <w:vAlign w:val="center"/>
          </w:tcPr>
          <w:p w14:paraId="251192A9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掌握建模与服务化部署方法；</w:t>
            </w:r>
          </w:p>
          <w:p w14:paraId="0CF70CE5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形成诊断服务可用版本。</w:t>
            </w:r>
          </w:p>
        </w:tc>
        <w:tc>
          <w:tcPr>
            <w:tcW w:w="484" w:type="pct"/>
            <w:vAlign w:val="center"/>
          </w:tcPr>
          <w:p w14:paraId="01104F9B">
            <w:pPr>
              <w:spacing w:line="320" w:lineRule="exact"/>
              <w:jc w:val="lef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65min</w:t>
            </w:r>
          </w:p>
        </w:tc>
      </w:tr>
      <w:tr w14:paraId="3269B206">
        <w:trPr>
          <w:trHeight w:val="64" w:hRule="atLeast"/>
        </w:trPr>
        <w:tc>
          <w:tcPr>
            <w:tcW w:w="378" w:type="pct"/>
            <w:vAlign w:val="center"/>
          </w:tcPr>
          <w:p w14:paraId="264E820A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任务复盘</w:t>
            </w:r>
          </w:p>
        </w:tc>
        <w:tc>
          <w:tcPr>
            <w:tcW w:w="1903" w:type="pct"/>
            <w:gridSpan w:val="4"/>
            <w:vAlign w:val="center"/>
          </w:tcPr>
          <w:p w14:paraId="6D41C95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1.A类汇报操作成果与问题。2.点评关键点：实现正确性、性能意识、代码规范、协作效率。</w:t>
            </w:r>
          </w:p>
        </w:tc>
        <w:tc>
          <w:tcPr>
            <w:tcW w:w="1277" w:type="pct"/>
            <w:gridSpan w:val="2"/>
            <w:vAlign w:val="center"/>
          </w:tcPr>
          <w:p w14:paraId="29A7E79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复盘：A类总结难点转化为给B/C/D类的“避坑指南”。</w:t>
            </w:r>
          </w:p>
        </w:tc>
        <w:tc>
          <w:tcPr>
            <w:tcW w:w="956" w:type="pct"/>
            <w:gridSpan w:val="2"/>
            <w:vAlign w:val="center"/>
          </w:tcPr>
          <w:p w14:paraId="4A473FB6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形成可迁移经验与统一规范。沉淀可复用方法，促进反思与表达。</w:t>
            </w:r>
          </w:p>
        </w:tc>
        <w:tc>
          <w:tcPr>
            <w:tcW w:w="484" w:type="pct"/>
            <w:vAlign w:val="center"/>
          </w:tcPr>
          <w:p w14:paraId="6F240C96">
            <w:pPr>
              <w:spacing w:line="320" w:lineRule="exact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10min</w:t>
            </w:r>
          </w:p>
        </w:tc>
      </w:tr>
      <w:tr w14:paraId="1578D556">
        <w:trPr>
          <w:trHeight w:val="64" w:hRule="atLeast"/>
        </w:trPr>
        <w:tc>
          <w:tcPr>
            <w:tcW w:w="5000" w:type="pct"/>
            <w:gridSpan w:val="10"/>
            <w:vAlign w:val="center"/>
          </w:tcPr>
          <w:p w14:paraId="5EDEB68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第二轮</w:t>
            </w:r>
          </w:p>
        </w:tc>
      </w:tr>
      <w:tr w14:paraId="11605CED">
        <w:trPr>
          <w:trHeight w:val="64" w:hRule="atLeast"/>
        </w:trPr>
        <w:tc>
          <w:tcPr>
            <w:tcW w:w="378" w:type="pct"/>
            <w:vAlign w:val="center"/>
          </w:tcPr>
          <w:p w14:paraId="4025F62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任务实施</w:t>
            </w:r>
          </w:p>
        </w:tc>
        <w:tc>
          <w:tcPr>
            <w:tcW w:w="1903" w:type="pct"/>
            <w:gridSpan w:val="4"/>
            <w:vAlign w:val="center"/>
          </w:tcPr>
          <w:p w14:paraId="0D49B7A0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任务检查：检查B/C/D学生进度；回顾评估与部署要点；监督/评判；组织端到端联调（数据→特征→模型→库→展示）。</w:t>
            </w:r>
          </w:p>
        </w:tc>
        <w:tc>
          <w:tcPr>
            <w:tcW w:w="1277" w:type="pct"/>
            <w:gridSpan w:val="2"/>
            <w:vAlign w:val="center"/>
          </w:tcPr>
          <w:p w14:paraId="53AD3980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B类学生完成工单P6.1（F1≥0.80+接入数据库）与P6.2（推理服务可用）；C/D类完成模型调用版；A类学生完成ONNX部署与性能压测。</w:t>
            </w:r>
          </w:p>
        </w:tc>
        <w:tc>
          <w:tcPr>
            <w:tcW w:w="956" w:type="pct"/>
            <w:gridSpan w:val="2"/>
            <w:vAlign w:val="center"/>
          </w:tcPr>
          <w:p w14:paraId="500F27B8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完成工单P6并达标；形成端到端系统能力。</w:t>
            </w:r>
          </w:p>
        </w:tc>
        <w:tc>
          <w:tcPr>
            <w:tcW w:w="484" w:type="pct"/>
            <w:vAlign w:val="center"/>
          </w:tcPr>
          <w:p w14:paraId="49C9AB81">
            <w:pPr>
              <w:spacing w:line="320" w:lineRule="exact"/>
              <w:rPr>
                <w:rFonts w:hint="default" w:ascii="Times New Roman" w:hAnsi="Times New Roman" w:eastAsia="方正仿宋_GBK" w:cs="Times New Roman"/>
                <w:kern w:val="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75min</w:t>
            </w:r>
          </w:p>
        </w:tc>
      </w:tr>
      <w:tr w14:paraId="68D6CBBA">
        <w:trPr>
          <w:trHeight w:val="64" w:hRule="atLeast"/>
        </w:trPr>
        <w:tc>
          <w:tcPr>
            <w:tcW w:w="378" w:type="pct"/>
            <w:vAlign w:val="center"/>
          </w:tcPr>
          <w:p w14:paraId="446B65CB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任务总结</w:t>
            </w:r>
          </w:p>
        </w:tc>
        <w:tc>
          <w:tcPr>
            <w:tcW w:w="1903" w:type="pct"/>
            <w:gridSpan w:val="4"/>
            <w:vAlign w:val="center"/>
          </w:tcPr>
          <w:p w14:paraId="50C1D125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1.各小组汇报工单成果与问题；2.点评关键点：功能完成度、工程质量、创新点；3.布置课后任务与下次课预习。</w:t>
            </w:r>
          </w:p>
        </w:tc>
        <w:tc>
          <w:tcPr>
            <w:tcW w:w="1277" w:type="pct"/>
            <w:gridSpan w:val="2"/>
            <w:vAlign w:val="center"/>
          </w:tcPr>
          <w:p w14:paraId="4B7ED11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小组代表汇报成果与问题；完成互评与个人反思；提交工单与过程记录。</w:t>
            </w:r>
          </w:p>
        </w:tc>
        <w:tc>
          <w:tcPr>
            <w:tcW w:w="956" w:type="pct"/>
            <w:gridSpan w:val="2"/>
            <w:vAlign w:val="center"/>
          </w:tcPr>
          <w:p w14:paraId="5751399F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kern w:val="0"/>
                <w:szCs w:val="20"/>
              </w:rPr>
              <w:t>训练决策能力与团队协作。培养总结反思能力与持续改进意识；通过汇报提升表达与逻辑思维能力。</w:t>
            </w:r>
          </w:p>
        </w:tc>
        <w:tc>
          <w:tcPr>
            <w:tcW w:w="484" w:type="pct"/>
            <w:vAlign w:val="center"/>
          </w:tcPr>
          <w:p w14:paraId="7E01A32C">
            <w:pPr>
              <w:spacing w:line="320" w:lineRule="exac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15min</w:t>
            </w:r>
          </w:p>
        </w:tc>
      </w:tr>
      <w:tr w14:paraId="0BA25850">
        <w:trPr>
          <w:trHeight w:val="569" w:hRule="atLeast"/>
        </w:trPr>
        <w:tc>
          <w:tcPr>
            <w:tcW w:w="5000" w:type="pct"/>
            <w:gridSpan w:val="10"/>
            <w:shd w:val="clear" w:color="auto" w:fill="DEEAF6"/>
            <w:vAlign w:val="center"/>
          </w:tcPr>
          <w:p w14:paraId="0A52676A">
            <w:pPr>
              <w:spacing w:line="320" w:lineRule="exact"/>
              <w:ind w:left="360" w:hanging="360"/>
              <w:rPr>
                <w:rFonts w:ascii="Times New Roman" w:hAnsi="Times New Roman" w:eastAsia="等线" w:cs="Times New Roman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课后拓展</w:t>
            </w:r>
          </w:p>
        </w:tc>
      </w:tr>
      <w:tr w14:paraId="50ABF65D">
        <w:trPr>
          <w:trHeight w:val="411" w:hRule="atLeast"/>
        </w:trPr>
        <w:tc>
          <w:tcPr>
            <w:tcW w:w="378" w:type="pct"/>
            <w:vAlign w:val="center"/>
          </w:tcPr>
          <w:p w14:paraId="3B22F643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学习内容</w:t>
            </w:r>
          </w:p>
        </w:tc>
        <w:tc>
          <w:tcPr>
            <w:tcW w:w="1903" w:type="pct"/>
            <w:gridSpan w:val="4"/>
            <w:vAlign w:val="center"/>
          </w:tcPr>
          <w:p w14:paraId="20016DE4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教师活动</w:t>
            </w:r>
          </w:p>
        </w:tc>
        <w:tc>
          <w:tcPr>
            <w:tcW w:w="1277" w:type="pct"/>
            <w:gridSpan w:val="2"/>
            <w:vAlign w:val="center"/>
          </w:tcPr>
          <w:p w14:paraId="16FD82CE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 w:val="2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学生活动</w:t>
            </w:r>
          </w:p>
        </w:tc>
        <w:tc>
          <w:tcPr>
            <w:tcW w:w="956" w:type="pct"/>
            <w:gridSpan w:val="2"/>
            <w:vAlign w:val="center"/>
          </w:tcPr>
          <w:p w14:paraId="5CDC514C">
            <w:pPr>
              <w:spacing w:line="320" w:lineRule="exact"/>
              <w:jc w:val="center"/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</w:pPr>
            <w:r>
              <w:rPr>
                <w:rFonts w:ascii="Times New Roman" w:hAnsi="Times New Roman" w:eastAsia="方正仿宋_GBK" w:cs="Times New Roman"/>
                <w:b/>
                <w:bCs/>
                <w:kern w:val="0"/>
                <w:szCs w:val="20"/>
              </w:rPr>
              <w:t>设计意图</w:t>
            </w:r>
          </w:p>
        </w:tc>
        <w:tc>
          <w:tcPr>
            <w:tcW w:w="484" w:type="pct"/>
            <w:vAlign w:val="center"/>
          </w:tcPr>
          <w:p w14:paraId="2AC14D5D">
            <w:pPr>
              <w:spacing w:line="320" w:lineRule="exact"/>
              <w:jc w:val="center"/>
              <w:rPr>
                <w:rFonts w:ascii="Times New Roman" w:hAnsi="Times New Roman" w:eastAsia="仿宋" w:cs="Times New Roman"/>
                <w:kern w:val="0"/>
                <w:sz w:val="20"/>
                <w:szCs w:val="20"/>
              </w:rPr>
            </w:pPr>
          </w:p>
        </w:tc>
      </w:tr>
      <w:tr w14:paraId="45453FFD">
        <w:trPr>
          <w:trHeight w:val="64" w:hRule="atLeast"/>
        </w:trPr>
        <w:tc>
          <w:tcPr>
            <w:tcW w:w="378" w:type="pct"/>
            <w:vAlign w:val="center"/>
          </w:tcPr>
          <w:p w14:paraId="4E1CF95E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</w:p>
        </w:tc>
        <w:tc>
          <w:tcPr>
            <w:tcW w:w="1903" w:type="pct"/>
            <w:gridSpan w:val="4"/>
            <w:vAlign w:val="center"/>
          </w:tcPr>
          <w:p w14:paraId="34E1BA3A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推送提升任务（技能竞赛/1+X证书/性能优化挑战）；收集数据用于诊改。</w:t>
            </w:r>
          </w:p>
        </w:tc>
        <w:tc>
          <w:tcPr>
            <w:tcW w:w="1277" w:type="pct"/>
            <w:gridSpan w:val="2"/>
            <w:vAlign w:val="center"/>
          </w:tcPr>
          <w:p w14:paraId="7FF129A5">
            <w:pPr>
              <w:spacing w:line="320" w:lineRule="exact"/>
              <w:jc w:val="lef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  <w:lang w:val="en-US" w:eastAsia="zh-CN"/>
              </w:rPr>
              <w:t>C/D层完成概念巩固练习；A/B层规划P7综合项目（四选一：智能产线监控/故障预测/供应链追溯/数据中台）；完成课程总结。</w:t>
            </w:r>
          </w:p>
        </w:tc>
        <w:tc>
          <w:tcPr>
            <w:tcW w:w="956" w:type="pct"/>
            <w:gridSpan w:val="2"/>
            <w:vAlign w:val="center"/>
          </w:tcPr>
          <w:p w14:paraId="10DBF675">
            <w:pPr>
              <w:spacing w:line="320" w:lineRule="exact"/>
              <w:jc w:val="left"/>
              <w:rPr>
                <w:rFonts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巩固迁移与持续改进</w:t>
            </w:r>
          </w:p>
        </w:tc>
        <w:tc>
          <w:tcPr>
            <w:tcW w:w="484" w:type="pct"/>
            <w:vAlign w:val="center"/>
          </w:tcPr>
          <w:p w14:paraId="6A3AF500">
            <w:pPr>
              <w:spacing w:line="320" w:lineRule="exact"/>
              <w:jc w:val="center"/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</w:pPr>
            <w:r>
              <w:rPr>
                <w:rFonts w:hint="eastAsia" w:ascii="Times New Roman" w:hAnsi="Times New Roman" w:eastAsia="仿宋" w:cs="Times New Roman"/>
                <w:kern w:val="0"/>
                <w:sz w:val="20"/>
                <w:szCs w:val="20"/>
                <w:lang w:val="en-US" w:eastAsia="zh-CN"/>
              </w:rPr>
              <w:t>课后</w:t>
            </w:r>
          </w:p>
        </w:tc>
      </w:tr>
      <w:bookmarkEnd w:id="0"/>
      <w:tr w14:paraId="4DA23FED">
        <w:trPr>
          <w:trHeight w:val="64" w:hRule="atLeast"/>
        </w:trPr>
        <w:tc>
          <w:tcPr>
            <w:tcW w:w="5000" w:type="pct"/>
            <w:gridSpan w:val="10"/>
            <w:shd w:val="clear" w:color="auto" w:fill="9CC2E5"/>
            <w:vAlign w:val="center"/>
          </w:tcPr>
          <w:p w14:paraId="15504F28">
            <w:pPr>
              <w:spacing w:line="320" w:lineRule="exact"/>
              <w:rPr>
                <w:rFonts w:ascii="Times New Roman" w:hAnsi="Times New Roman" w:eastAsia="等线" w:cs="Times New Roman"/>
                <w:b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四、反思诊改</w:t>
            </w:r>
          </w:p>
        </w:tc>
      </w:tr>
      <w:tr w14:paraId="53FC17AF">
        <w:trPr>
          <w:trHeight w:val="325" w:hRule="atLeast"/>
        </w:trPr>
        <w:tc>
          <w:tcPr>
            <w:tcW w:w="552" w:type="pct"/>
            <w:gridSpan w:val="2"/>
            <w:vAlign w:val="center"/>
          </w:tcPr>
          <w:p w14:paraId="2DA2D491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hint="eastAsia"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任务</w:t>
            </w: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效果</w:t>
            </w:r>
          </w:p>
        </w:tc>
        <w:tc>
          <w:tcPr>
            <w:tcW w:w="4447" w:type="pct"/>
            <w:gridSpan w:val="8"/>
            <w:vAlign w:val="center"/>
          </w:tcPr>
          <w:p w14:paraId="58D1D2E3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从模型指标（F1/mAP）、服务可用性、部署性能、文档完整性四个维度记录过程性数据；</w:t>
            </w:r>
          </w:p>
          <w:p w14:paraId="33E01212">
            <w:pPr>
              <w:spacing w:line="320" w:lineRule="exact"/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</w:pPr>
            <w:r>
              <w:rPr>
                <w:rFonts w:hint="eastAsia" w:ascii="Times New Roman" w:hAnsi="Times New Roman" w:eastAsia="方正仿宋_GBK" w:cs="Times New Roman"/>
                <w:kern w:val="0"/>
                <w:szCs w:val="20"/>
              </w:rPr>
              <w:t>课程终期评估：8个工单成绩分布、代码审查得分、学习投入记录，对照岗位能力目标（数据工程师匹配度80-95%）。</w:t>
            </w:r>
          </w:p>
        </w:tc>
      </w:tr>
      <w:tr w14:paraId="12C03CDC">
        <w:trPr>
          <w:trHeight w:val="401" w:hRule="atLeast"/>
        </w:trPr>
        <w:tc>
          <w:tcPr>
            <w:tcW w:w="552" w:type="pct"/>
            <w:gridSpan w:val="2"/>
            <w:vAlign w:val="center"/>
          </w:tcPr>
          <w:p w14:paraId="063E5228">
            <w:pPr>
              <w:spacing w:line="320" w:lineRule="exact"/>
              <w:jc w:val="center"/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</w:pPr>
            <w:r>
              <w:rPr>
                <w:rFonts w:ascii="Times New Roman" w:hAnsi="Times New Roman" w:eastAsia="黑体" w:cs="Times New Roman"/>
                <w:color w:val="000000"/>
                <w:kern w:val="0"/>
                <w:sz w:val="24"/>
                <w:szCs w:val="20"/>
              </w:rPr>
              <w:t>反思改进</w:t>
            </w:r>
          </w:p>
        </w:tc>
        <w:tc>
          <w:tcPr>
            <w:tcW w:w="4447" w:type="pct"/>
            <w:gridSpan w:val="8"/>
            <w:vAlign w:val="center"/>
          </w:tcPr>
          <w:p w14:paraId="6BC873CE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汇总8周“避坑清单”与优秀工单形成课程资产包；</w:t>
            </w:r>
          </w:p>
          <w:p w14:paraId="457B8969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为P7综合项目与毕业设计输出学情档案；推荐优秀学生进入企业实习通道与技能竞赛。</w:t>
            </w:r>
          </w:p>
          <w:p w14:paraId="6D18E401">
            <w:pPr>
              <w:spacing w:line="320" w:lineRule="exact"/>
              <w:rPr>
                <w:rFonts w:hint="eastAsia" w:ascii="Times New Roman" w:hAnsi="Times New Roman" w:eastAsia="方正仿宋_GBK" w:cs="Times New Roman"/>
              </w:rPr>
            </w:pPr>
            <w:r>
              <w:rPr>
                <w:rFonts w:hint="eastAsia" w:ascii="Times New Roman" w:hAnsi="Times New Roman" w:eastAsia="方正仿宋_GBK" w:cs="Times New Roman"/>
              </w:rPr>
              <w:t>本周更新ABCD角色轮换表与组内贡献记录（个人问责，防搭便车）。</w:t>
            </w:r>
          </w:p>
        </w:tc>
      </w:tr>
    </w:tbl>
    <w:p w14:paraId="75B2A18C">
      <w:pPr>
        <w:widowControl/>
        <w:jc w:val="left"/>
        <w:rPr>
          <w:rFonts w:hint="eastAsia"/>
        </w:rPr>
      </w:pPr>
    </w:p>
    <w:sectPr>
      <w:pgSz w:w="16838" w:h="11906" w:orient="landscape"/>
      <w:pgMar w:top="1134" w:right="1134" w:bottom="1134" w:left="1134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704020202090204"/>
    <w:charset w:val="01"/>
    <w:family w:val="swiss"/>
    <w:pitch w:val="default"/>
    <w:sig w:usb0="E0000EFF" w:usb1="00007843" w:usb2="00000001" w:usb3="00000000" w:csb0="400001BF" w:csb1="DFF7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6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702030404030204"/>
    <w:charset w:val="00"/>
    <w:family w:val="swiss"/>
    <w:pitch w:val="default"/>
    <w:sig w:usb0="E0002AFF" w:usb1="C000247B" w:usb2="00000009" w:usb3="00000000" w:csb0="200001FF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FZHei-B01">
    <w:panose1 w:val="03000509000000000000"/>
    <w:charset w:val="86"/>
    <w:family w:val="auto"/>
    <w:pitch w:val="default"/>
    <w:sig w:usb0="00000001" w:usb1="080E0000" w:usb2="00000000" w:usb3="00000000" w:csb0="00040000" w:csb1="00000000"/>
  </w:font>
  <w:font w:name="FZKai-Z03">
    <w:panose1 w:val="02000000000000000000"/>
    <w:charset w:val="86"/>
    <w:family w:val="auto"/>
    <w:pitch w:val="default"/>
    <w:sig w:usb0="800002BF" w:usb1="38CF7CFA" w:usb2="00000016" w:usb3="00000000" w:csb0="00040000" w:csb1="00000000"/>
  </w:font>
  <w:font w:name="STKaiti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altName w:val="等线"/>
    <w:panose1 w:val="02010600030101010101"/>
    <w:charset w:val="86"/>
    <w:family w:val="auto"/>
    <w:pitch w:val="default"/>
    <w:sig w:usb0="00000000" w:usb1="00000000" w:usb2="00000016" w:usb3="00000000" w:csb0="0004000F" w:csb1="00000000"/>
  </w:font>
  <w:font w:name="仿宋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方正仿宋_GBK">
    <w:panose1 w:val="02000000000000000000"/>
    <w:charset w:val="86"/>
    <w:family w:val="script"/>
    <w:pitch w:val="default"/>
    <w:sig w:usb0="A00002BF" w:usb1="38CF7CFA" w:usb2="00082016" w:usb3="00000000" w:csb0="00040001" w:csb1="00000000"/>
  </w:font>
  <w:font w:name="微软雅黑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NotoSerifSC-ExtraLight">
    <w:altName w:val="苹方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苹方-简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等线 Light">
    <w:altName w:val="等线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Tahoma">
    <w:panose1 w:val="020B0804030504040204"/>
    <w:charset w:val="00"/>
    <w:family w:val="auto"/>
    <w:pitch w:val="default"/>
    <w:sig w:usb0="E1002EFF" w:usb1="C000605B" w:usb2="00000029" w:usb3="00000000" w:csb0="200101FF" w:csb1="2028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5638B"/>
    <w:rsid w:val="000167F0"/>
    <w:rsid w:val="00021B09"/>
    <w:rsid w:val="00031809"/>
    <w:rsid w:val="000358CE"/>
    <w:rsid w:val="00045CC0"/>
    <w:rsid w:val="000501DD"/>
    <w:rsid w:val="00050E57"/>
    <w:rsid w:val="0005127A"/>
    <w:rsid w:val="00052B64"/>
    <w:rsid w:val="0005324A"/>
    <w:rsid w:val="00060D34"/>
    <w:rsid w:val="00064857"/>
    <w:rsid w:val="0007661E"/>
    <w:rsid w:val="00076D98"/>
    <w:rsid w:val="000804A7"/>
    <w:rsid w:val="000A0F90"/>
    <w:rsid w:val="000B6FB3"/>
    <w:rsid w:val="000C3DEC"/>
    <w:rsid w:val="000E399B"/>
    <w:rsid w:val="000F20AD"/>
    <w:rsid w:val="000F5F18"/>
    <w:rsid w:val="001006E7"/>
    <w:rsid w:val="001008D0"/>
    <w:rsid w:val="001074A9"/>
    <w:rsid w:val="00107595"/>
    <w:rsid w:val="00113B3D"/>
    <w:rsid w:val="00121A09"/>
    <w:rsid w:val="001254D7"/>
    <w:rsid w:val="00125883"/>
    <w:rsid w:val="001420A5"/>
    <w:rsid w:val="001510A1"/>
    <w:rsid w:val="001524DD"/>
    <w:rsid w:val="00153078"/>
    <w:rsid w:val="00160684"/>
    <w:rsid w:val="00193BCD"/>
    <w:rsid w:val="00195912"/>
    <w:rsid w:val="001D0C11"/>
    <w:rsid w:val="001D6331"/>
    <w:rsid w:val="001E09EE"/>
    <w:rsid w:val="00200968"/>
    <w:rsid w:val="002108D8"/>
    <w:rsid w:val="002118B8"/>
    <w:rsid w:val="00226AB2"/>
    <w:rsid w:val="002306CB"/>
    <w:rsid w:val="002368A2"/>
    <w:rsid w:val="00240CB1"/>
    <w:rsid w:val="00244D10"/>
    <w:rsid w:val="00257426"/>
    <w:rsid w:val="00257575"/>
    <w:rsid w:val="00263FDD"/>
    <w:rsid w:val="002759EA"/>
    <w:rsid w:val="00287F20"/>
    <w:rsid w:val="00293BD6"/>
    <w:rsid w:val="00295429"/>
    <w:rsid w:val="002A3BEC"/>
    <w:rsid w:val="002A67BE"/>
    <w:rsid w:val="002C52E5"/>
    <w:rsid w:val="002D18DA"/>
    <w:rsid w:val="002D4580"/>
    <w:rsid w:val="002D50B1"/>
    <w:rsid w:val="002E505B"/>
    <w:rsid w:val="002F273C"/>
    <w:rsid w:val="003433D3"/>
    <w:rsid w:val="00350460"/>
    <w:rsid w:val="00357AA4"/>
    <w:rsid w:val="003622E8"/>
    <w:rsid w:val="00367CB9"/>
    <w:rsid w:val="003775F7"/>
    <w:rsid w:val="00381764"/>
    <w:rsid w:val="0038185C"/>
    <w:rsid w:val="00386868"/>
    <w:rsid w:val="003934D3"/>
    <w:rsid w:val="0039537A"/>
    <w:rsid w:val="003A2C9D"/>
    <w:rsid w:val="003C1E77"/>
    <w:rsid w:val="003D2E12"/>
    <w:rsid w:val="003F0A6F"/>
    <w:rsid w:val="004115D7"/>
    <w:rsid w:val="00411E48"/>
    <w:rsid w:val="004120DC"/>
    <w:rsid w:val="00420DD1"/>
    <w:rsid w:val="00433F50"/>
    <w:rsid w:val="00434781"/>
    <w:rsid w:val="00445198"/>
    <w:rsid w:val="0045118E"/>
    <w:rsid w:val="004512B4"/>
    <w:rsid w:val="004523A6"/>
    <w:rsid w:val="00473656"/>
    <w:rsid w:val="004B37DE"/>
    <w:rsid w:val="004C1240"/>
    <w:rsid w:val="004C5126"/>
    <w:rsid w:val="004E0C7C"/>
    <w:rsid w:val="004E59BB"/>
    <w:rsid w:val="004F4211"/>
    <w:rsid w:val="00506B60"/>
    <w:rsid w:val="005079A2"/>
    <w:rsid w:val="005131CF"/>
    <w:rsid w:val="00514BB0"/>
    <w:rsid w:val="00520019"/>
    <w:rsid w:val="005207C4"/>
    <w:rsid w:val="005212E3"/>
    <w:rsid w:val="00522829"/>
    <w:rsid w:val="0053171B"/>
    <w:rsid w:val="00547DEE"/>
    <w:rsid w:val="00553257"/>
    <w:rsid w:val="00553596"/>
    <w:rsid w:val="00556C43"/>
    <w:rsid w:val="005601CA"/>
    <w:rsid w:val="00561226"/>
    <w:rsid w:val="00565CC8"/>
    <w:rsid w:val="005669E1"/>
    <w:rsid w:val="00575A22"/>
    <w:rsid w:val="0058230C"/>
    <w:rsid w:val="00582BC4"/>
    <w:rsid w:val="0058440F"/>
    <w:rsid w:val="005844B9"/>
    <w:rsid w:val="00592176"/>
    <w:rsid w:val="00596DC0"/>
    <w:rsid w:val="005A7079"/>
    <w:rsid w:val="005D084B"/>
    <w:rsid w:val="005E1584"/>
    <w:rsid w:val="005F7000"/>
    <w:rsid w:val="006068D3"/>
    <w:rsid w:val="006119C2"/>
    <w:rsid w:val="00614670"/>
    <w:rsid w:val="006579DB"/>
    <w:rsid w:val="006628BD"/>
    <w:rsid w:val="00670286"/>
    <w:rsid w:val="00694DF8"/>
    <w:rsid w:val="006A234A"/>
    <w:rsid w:val="006A50C9"/>
    <w:rsid w:val="006A7A78"/>
    <w:rsid w:val="006B5173"/>
    <w:rsid w:val="006D5300"/>
    <w:rsid w:val="006E3BCC"/>
    <w:rsid w:val="007041A5"/>
    <w:rsid w:val="00716C5F"/>
    <w:rsid w:val="00721D75"/>
    <w:rsid w:val="007246CA"/>
    <w:rsid w:val="0074080C"/>
    <w:rsid w:val="0074296E"/>
    <w:rsid w:val="00747DFB"/>
    <w:rsid w:val="007537F0"/>
    <w:rsid w:val="00767EDF"/>
    <w:rsid w:val="00785A08"/>
    <w:rsid w:val="007A4666"/>
    <w:rsid w:val="007B47D7"/>
    <w:rsid w:val="007B4AF7"/>
    <w:rsid w:val="007C3A41"/>
    <w:rsid w:val="007C53FE"/>
    <w:rsid w:val="007D2F1E"/>
    <w:rsid w:val="007E0C75"/>
    <w:rsid w:val="007F06D6"/>
    <w:rsid w:val="007F680F"/>
    <w:rsid w:val="00811CF0"/>
    <w:rsid w:val="0084648A"/>
    <w:rsid w:val="0085638B"/>
    <w:rsid w:val="00867E8F"/>
    <w:rsid w:val="00877062"/>
    <w:rsid w:val="00885165"/>
    <w:rsid w:val="00890020"/>
    <w:rsid w:val="008947C9"/>
    <w:rsid w:val="008C5AA6"/>
    <w:rsid w:val="008D1490"/>
    <w:rsid w:val="008D2D59"/>
    <w:rsid w:val="008E14EC"/>
    <w:rsid w:val="00900B62"/>
    <w:rsid w:val="00910D1A"/>
    <w:rsid w:val="009112CC"/>
    <w:rsid w:val="00917345"/>
    <w:rsid w:val="009211B2"/>
    <w:rsid w:val="00925119"/>
    <w:rsid w:val="00925276"/>
    <w:rsid w:val="009301E7"/>
    <w:rsid w:val="009458BA"/>
    <w:rsid w:val="00955E00"/>
    <w:rsid w:val="00976FB9"/>
    <w:rsid w:val="009840F7"/>
    <w:rsid w:val="0099406B"/>
    <w:rsid w:val="009A7E67"/>
    <w:rsid w:val="009B4CBE"/>
    <w:rsid w:val="009D2681"/>
    <w:rsid w:val="009D3DCF"/>
    <w:rsid w:val="009D464F"/>
    <w:rsid w:val="009D72E0"/>
    <w:rsid w:val="009E2E03"/>
    <w:rsid w:val="009F08AE"/>
    <w:rsid w:val="00A03A3D"/>
    <w:rsid w:val="00A14878"/>
    <w:rsid w:val="00A16369"/>
    <w:rsid w:val="00A16753"/>
    <w:rsid w:val="00A2130A"/>
    <w:rsid w:val="00A31B67"/>
    <w:rsid w:val="00A33AD0"/>
    <w:rsid w:val="00A46084"/>
    <w:rsid w:val="00A50698"/>
    <w:rsid w:val="00A520C7"/>
    <w:rsid w:val="00A70EE8"/>
    <w:rsid w:val="00A75A38"/>
    <w:rsid w:val="00A812EE"/>
    <w:rsid w:val="00A832DB"/>
    <w:rsid w:val="00A87010"/>
    <w:rsid w:val="00A94D1A"/>
    <w:rsid w:val="00AB4AF5"/>
    <w:rsid w:val="00AB54AF"/>
    <w:rsid w:val="00B02AE0"/>
    <w:rsid w:val="00B073FA"/>
    <w:rsid w:val="00B1608B"/>
    <w:rsid w:val="00B26692"/>
    <w:rsid w:val="00B33010"/>
    <w:rsid w:val="00B43EB8"/>
    <w:rsid w:val="00B468CE"/>
    <w:rsid w:val="00B65FB4"/>
    <w:rsid w:val="00B73850"/>
    <w:rsid w:val="00B910B5"/>
    <w:rsid w:val="00BA1348"/>
    <w:rsid w:val="00BB4B2E"/>
    <w:rsid w:val="00BB4CA1"/>
    <w:rsid w:val="00BB5E8D"/>
    <w:rsid w:val="00BB5FDB"/>
    <w:rsid w:val="00BC2F32"/>
    <w:rsid w:val="00BC6515"/>
    <w:rsid w:val="00BC6908"/>
    <w:rsid w:val="00BE30F6"/>
    <w:rsid w:val="00BF0E49"/>
    <w:rsid w:val="00BF4D95"/>
    <w:rsid w:val="00C031F2"/>
    <w:rsid w:val="00C20822"/>
    <w:rsid w:val="00C21698"/>
    <w:rsid w:val="00C23430"/>
    <w:rsid w:val="00C25401"/>
    <w:rsid w:val="00C308FB"/>
    <w:rsid w:val="00C34A2C"/>
    <w:rsid w:val="00C418CD"/>
    <w:rsid w:val="00C41D5C"/>
    <w:rsid w:val="00C42412"/>
    <w:rsid w:val="00C5307C"/>
    <w:rsid w:val="00C62C5A"/>
    <w:rsid w:val="00C65B03"/>
    <w:rsid w:val="00C722F8"/>
    <w:rsid w:val="00C8307B"/>
    <w:rsid w:val="00C920CB"/>
    <w:rsid w:val="00C95696"/>
    <w:rsid w:val="00CC3978"/>
    <w:rsid w:val="00CC44BC"/>
    <w:rsid w:val="00CE25A0"/>
    <w:rsid w:val="00CE53D7"/>
    <w:rsid w:val="00CF03A7"/>
    <w:rsid w:val="00CF0E49"/>
    <w:rsid w:val="00CF6FF9"/>
    <w:rsid w:val="00D03100"/>
    <w:rsid w:val="00D25D0E"/>
    <w:rsid w:val="00D33B6C"/>
    <w:rsid w:val="00D353A2"/>
    <w:rsid w:val="00D43776"/>
    <w:rsid w:val="00D51171"/>
    <w:rsid w:val="00D52C07"/>
    <w:rsid w:val="00D6421E"/>
    <w:rsid w:val="00D7221C"/>
    <w:rsid w:val="00D733F1"/>
    <w:rsid w:val="00DA69A4"/>
    <w:rsid w:val="00DB3092"/>
    <w:rsid w:val="00DB7774"/>
    <w:rsid w:val="00DE3011"/>
    <w:rsid w:val="00DE3FFA"/>
    <w:rsid w:val="00DE67FC"/>
    <w:rsid w:val="00DF74F1"/>
    <w:rsid w:val="00E1094C"/>
    <w:rsid w:val="00E14BCA"/>
    <w:rsid w:val="00E1660D"/>
    <w:rsid w:val="00E214DB"/>
    <w:rsid w:val="00E232D9"/>
    <w:rsid w:val="00E24123"/>
    <w:rsid w:val="00E313B4"/>
    <w:rsid w:val="00E366D6"/>
    <w:rsid w:val="00E40512"/>
    <w:rsid w:val="00E51756"/>
    <w:rsid w:val="00E57A4D"/>
    <w:rsid w:val="00E646FD"/>
    <w:rsid w:val="00E67EE0"/>
    <w:rsid w:val="00E76D1E"/>
    <w:rsid w:val="00E81E1E"/>
    <w:rsid w:val="00E8227C"/>
    <w:rsid w:val="00E92DB1"/>
    <w:rsid w:val="00EA350D"/>
    <w:rsid w:val="00EB3A3B"/>
    <w:rsid w:val="00EB6360"/>
    <w:rsid w:val="00EC3533"/>
    <w:rsid w:val="00EC38A5"/>
    <w:rsid w:val="00EC3C34"/>
    <w:rsid w:val="00EC6B56"/>
    <w:rsid w:val="00EE0128"/>
    <w:rsid w:val="00EF56D5"/>
    <w:rsid w:val="00F02449"/>
    <w:rsid w:val="00F0308C"/>
    <w:rsid w:val="00F15AAC"/>
    <w:rsid w:val="00F373E8"/>
    <w:rsid w:val="00F5256F"/>
    <w:rsid w:val="00F61424"/>
    <w:rsid w:val="00F70F86"/>
    <w:rsid w:val="00F824B8"/>
    <w:rsid w:val="00F84F9E"/>
    <w:rsid w:val="00F860C6"/>
    <w:rsid w:val="00F864B7"/>
    <w:rsid w:val="00FA41BA"/>
    <w:rsid w:val="00FA52BA"/>
    <w:rsid w:val="00FB03AF"/>
    <w:rsid w:val="00FB6C58"/>
    <w:rsid w:val="00FC10B1"/>
    <w:rsid w:val="00FE4265"/>
    <w:rsid w:val="00FE7A38"/>
    <w:rsid w:val="01C61F4A"/>
    <w:rsid w:val="02013645"/>
    <w:rsid w:val="03A65B92"/>
    <w:rsid w:val="03D97231"/>
    <w:rsid w:val="06C375D1"/>
    <w:rsid w:val="07DD8331"/>
    <w:rsid w:val="08B33959"/>
    <w:rsid w:val="0C7D22B4"/>
    <w:rsid w:val="0D324647"/>
    <w:rsid w:val="0EB130ED"/>
    <w:rsid w:val="0F9C0377"/>
    <w:rsid w:val="13D02C02"/>
    <w:rsid w:val="16C6374A"/>
    <w:rsid w:val="1C144A83"/>
    <w:rsid w:val="1EFA9236"/>
    <w:rsid w:val="22BB548D"/>
    <w:rsid w:val="26C97FF4"/>
    <w:rsid w:val="26E24F00"/>
    <w:rsid w:val="28784840"/>
    <w:rsid w:val="2F7D75E9"/>
    <w:rsid w:val="35523A2F"/>
    <w:rsid w:val="3DDF66B0"/>
    <w:rsid w:val="41ED448D"/>
    <w:rsid w:val="428611BC"/>
    <w:rsid w:val="438C104B"/>
    <w:rsid w:val="46295492"/>
    <w:rsid w:val="4F585C8E"/>
    <w:rsid w:val="4F865A23"/>
    <w:rsid w:val="505A77E4"/>
    <w:rsid w:val="51433511"/>
    <w:rsid w:val="51F2411D"/>
    <w:rsid w:val="51F262CF"/>
    <w:rsid w:val="521F0CE5"/>
    <w:rsid w:val="526F3A1A"/>
    <w:rsid w:val="537A78FC"/>
    <w:rsid w:val="581A61D6"/>
    <w:rsid w:val="583152CE"/>
    <w:rsid w:val="5BF10504"/>
    <w:rsid w:val="5CF03729"/>
    <w:rsid w:val="5EDE6F22"/>
    <w:rsid w:val="5FEB2B79"/>
    <w:rsid w:val="5FFF8CA6"/>
    <w:rsid w:val="603C74D7"/>
    <w:rsid w:val="61F9349B"/>
    <w:rsid w:val="6381495B"/>
    <w:rsid w:val="66CD6B09"/>
    <w:rsid w:val="67ED1D53"/>
    <w:rsid w:val="68552CA8"/>
    <w:rsid w:val="68947D20"/>
    <w:rsid w:val="6945700A"/>
    <w:rsid w:val="6B454EC0"/>
    <w:rsid w:val="6D5D0BE7"/>
    <w:rsid w:val="6DE34429"/>
    <w:rsid w:val="71FC02A3"/>
    <w:rsid w:val="72E50CCC"/>
    <w:rsid w:val="773FE699"/>
    <w:rsid w:val="787E51F4"/>
    <w:rsid w:val="7BAE95EA"/>
    <w:rsid w:val="7C4F4D89"/>
    <w:rsid w:val="7E1352F2"/>
    <w:rsid w:val="7E7FFCBA"/>
    <w:rsid w:val="7ECD2539"/>
    <w:rsid w:val="7F5F92F5"/>
    <w:rsid w:val="7F8518D8"/>
    <w:rsid w:val="7FFB82CF"/>
    <w:rsid w:val="97DBF7B5"/>
    <w:rsid w:val="A2C7BF36"/>
    <w:rsid w:val="BFEF8E5A"/>
    <w:rsid w:val="DF6F55F3"/>
    <w:rsid w:val="DFFF7AF6"/>
    <w:rsid w:val="E3EE5F78"/>
    <w:rsid w:val="EE8EE954"/>
    <w:rsid w:val="F273C6F0"/>
    <w:rsid w:val="F7CF635A"/>
    <w:rsid w:val="FBBF7355"/>
    <w:rsid w:val="FF3F9218"/>
    <w:rsid w:val="FF8FA188"/>
    <w:rsid w:val="FFF9B2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qFormat="1" w:uiPriority="99" w:semiHidden="0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semiHidden="0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semiHidden="0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22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23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24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5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6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  <w:szCs w:val="24"/>
    </w:rPr>
  </w:style>
  <w:style w:type="paragraph" w:styleId="7">
    <w:name w:val="heading 6"/>
    <w:basedOn w:val="1"/>
    <w:next w:val="1"/>
    <w:link w:val="27"/>
    <w:semiHidden/>
    <w:unhideWhenUsed/>
    <w:qFormat/>
    <w:uiPriority w:val="9"/>
    <w:pPr>
      <w:keepNext/>
      <w:keepLines/>
      <w:spacing w:before="4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8"/>
    <w:semiHidden/>
    <w:unhideWhenUsed/>
    <w:qFormat/>
    <w:uiPriority w:val="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9"/>
    <w:semiHidden/>
    <w:unhideWhenUsed/>
    <w:qFormat/>
    <w:uiPriority w:val="9"/>
    <w:pPr>
      <w:keepNext/>
      <w:keepLines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30"/>
    <w:semiHidden/>
    <w:unhideWhenUsed/>
    <w:qFormat/>
    <w:uiPriority w:val="9"/>
    <w:pPr>
      <w:keepNext/>
      <w:keepLines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20">
    <w:name w:val="Default Paragraph Font"/>
    <w:semiHidden/>
    <w:unhideWhenUsed/>
    <w:qFormat/>
    <w:uiPriority w:val="1"/>
  </w:style>
  <w:style w:type="table" w:default="1" w:styleId="18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annotation text"/>
    <w:basedOn w:val="1"/>
    <w:link w:val="46"/>
    <w:unhideWhenUsed/>
    <w:qFormat/>
    <w:uiPriority w:val="99"/>
    <w:pPr>
      <w:jc w:val="left"/>
    </w:pPr>
  </w:style>
  <w:style w:type="paragraph" w:styleId="12">
    <w:name w:val="Body Text"/>
    <w:basedOn w:val="1"/>
    <w:link w:val="42"/>
    <w:unhideWhenUsed/>
    <w:qFormat/>
    <w:uiPriority w:val="99"/>
    <w:pPr>
      <w:spacing w:after="120"/>
    </w:pPr>
    <w:rPr>
      <w:szCs w:val="24"/>
    </w:rPr>
  </w:style>
  <w:style w:type="paragraph" w:styleId="13">
    <w:name w:val="footer"/>
    <w:basedOn w:val="1"/>
    <w:link w:val="41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14">
    <w:name w:val="header"/>
    <w:basedOn w:val="1"/>
    <w:link w:val="40"/>
    <w:unhideWhenUsed/>
    <w:uiPriority w:val="99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5">
    <w:name w:val="Subtitle"/>
    <w:basedOn w:val="1"/>
    <w:next w:val="1"/>
    <w:link w:val="32"/>
    <w:qFormat/>
    <w:uiPriority w:val="11"/>
    <w:pPr>
      <w:spacing w:after="160"/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6">
    <w:name w:val="Title"/>
    <w:basedOn w:val="1"/>
    <w:next w:val="1"/>
    <w:link w:val="31"/>
    <w:qFormat/>
    <w:uiPriority w:val="10"/>
    <w:pPr>
      <w:spacing w:after="80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17">
    <w:name w:val="annotation subject"/>
    <w:basedOn w:val="11"/>
    <w:next w:val="11"/>
    <w:link w:val="47"/>
    <w:unhideWhenUsed/>
    <w:uiPriority w:val="99"/>
    <w:rPr>
      <w:b/>
      <w:bCs/>
    </w:rPr>
  </w:style>
  <w:style w:type="table" w:styleId="19">
    <w:name w:val="Table Grid"/>
    <w:qFormat/>
    <w:uiPriority w:val="39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character" w:styleId="21">
    <w:name w:val="annotation reference"/>
    <w:basedOn w:val="20"/>
    <w:unhideWhenUsed/>
    <w:uiPriority w:val="99"/>
    <w:rPr>
      <w:sz w:val="21"/>
      <w:szCs w:val="21"/>
    </w:rPr>
  </w:style>
  <w:style w:type="character" w:customStyle="1" w:styleId="22">
    <w:name w:val="标题 1 字符"/>
    <w:basedOn w:val="20"/>
    <w:link w:val="2"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23">
    <w:name w:val="标题 2 字符"/>
    <w:basedOn w:val="20"/>
    <w:link w:val="3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24">
    <w:name w:val="标题 3 字符"/>
    <w:basedOn w:val="20"/>
    <w:link w:val="4"/>
    <w:semiHidden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5">
    <w:name w:val="标题 4 字符"/>
    <w:basedOn w:val="20"/>
    <w:link w:val="5"/>
    <w:semiHidden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6">
    <w:name w:val="标题 5 字符"/>
    <w:basedOn w:val="20"/>
    <w:link w:val="6"/>
    <w:semiHidden/>
    <w:uiPriority w:val="9"/>
    <w:rPr>
      <w:rFonts w:cstheme="majorBidi"/>
      <w:color w:val="2F5597" w:themeColor="accent1" w:themeShade="BF"/>
      <w:sz w:val="24"/>
      <w:szCs w:val="24"/>
    </w:rPr>
  </w:style>
  <w:style w:type="character" w:customStyle="1" w:styleId="27">
    <w:name w:val="标题 6 字符"/>
    <w:basedOn w:val="20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8">
    <w:name w:val="标题 7 字符"/>
    <w:basedOn w:val="20"/>
    <w:link w:val="8"/>
    <w:semiHidden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9">
    <w:name w:val="标题 8 字符"/>
    <w:basedOn w:val="20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0">
    <w:name w:val="标题 9 字符"/>
    <w:basedOn w:val="20"/>
    <w:link w:val="10"/>
    <w:semiHidden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31">
    <w:name w:val="标题 字符"/>
    <w:basedOn w:val="20"/>
    <w:link w:val="16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32">
    <w:name w:val="副标题 字符"/>
    <w:basedOn w:val="20"/>
    <w:link w:val="15"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33">
    <w:name w:val="Quote"/>
    <w:basedOn w:val="1"/>
    <w:next w:val="1"/>
    <w:link w:val="34"/>
    <w:qFormat/>
    <w:uiPriority w:val="29"/>
    <w:pPr>
      <w:spacing w:before="160" w:after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34">
    <w:name w:val="引用 字符"/>
    <w:basedOn w:val="20"/>
    <w:link w:val="33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5">
    <w:name w:val="List Paragraph"/>
    <w:basedOn w:val="1"/>
    <w:qFormat/>
    <w:uiPriority w:val="34"/>
    <w:pPr>
      <w:ind w:left="720"/>
      <w:contextualSpacing/>
    </w:pPr>
  </w:style>
  <w:style w:type="character" w:customStyle="1" w:styleId="36">
    <w:name w:val="明显强调1"/>
    <w:basedOn w:val="20"/>
    <w:qFormat/>
    <w:uiPriority w:val="21"/>
    <w:rPr>
      <w:i/>
      <w:iCs/>
      <w:color w:val="2F5597" w:themeColor="accent1" w:themeShade="BF"/>
    </w:rPr>
  </w:style>
  <w:style w:type="paragraph" w:styleId="37">
    <w:name w:val="Intense Quote"/>
    <w:basedOn w:val="1"/>
    <w:next w:val="1"/>
    <w:link w:val="38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8">
    <w:name w:val="明显引用 字符"/>
    <w:basedOn w:val="20"/>
    <w:link w:val="37"/>
    <w:qFormat/>
    <w:uiPriority w:val="30"/>
    <w:rPr>
      <w:i/>
      <w:iCs/>
      <w:color w:val="2F5597" w:themeColor="accent1" w:themeShade="BF"/>
    </w:rPr>
  </w:style>
  <w:style w:type="character" w:customStyle="1" w:styleId="39">
    <w:name w:val="明显参考1"/>
    <w:basedOn w:val="20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40">
    <w:name w:val="页眉 字符"/>
    <w:basedOn w:val="20"/>
    <w:link w:val="14"/>
    <w:qFormat/>
    <w:uiPriority w:val="99"/>
    <w:rPr>
      <w:sz w:val="18"/>
      <w:szCs w:val="18"/>
    </w:rPr>
  </w:style>
  <w:style w:type="character" w:customStyle="1" w:styleId="41">
    <w:name w:val="页脚 字符"/>
    <w:basedOn w:val="20"/>
    <w:link w:val="13"/>
    <w:uiPriority w:val="99"/>
    <w:rPr>
      <w:sz w:val="18"/>
      <w:szCs w:val="18"/>
    </w:rPr>
  </w:style>
  <w:style w:type="character" w:customStyle="1" w:styleId="42">
    <w:name w:val="正文文本 字符"/>
    <w:basedOn w:val="20"/>
    <w:link w:val="12"/>
    <w:uiPriority w:val="99"/>
    <w:rPr>
      <w:szCs w:val="24"/>
    </w:rPr>
  </w:style>
  <w:style w:type="table" w:customStyle="1" w:styleId="43">
    <w:name w:val="网格型2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4">
    <w:name w:val="网格型4"/>
    <w:qFormat/>
    <w:uiPriority w:val="39"/>
    <w:pPr>
      <w:spacing w:after="160" w:line="276" w:lineRule="auto"/>
    </w:pPr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45">
    <w:name w:val="网格型5"/>
    <w:basedOn w:val="18"/>
    <w:autoRedefine/>
    <w:qFormat/>
    <w:uiPriority w:val="39"/>
    <w:rPr>
      <w:rFonts w:ascii="Times New Roman" w:hAnsi="Times New Roman" w:eastAsia="宋体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46">
    <w:name w:val="批注文字 字符"/>
    <w:basedOn w:val="20"/>
    <w:link w:val="11"/>
    <w:uiPriority w:val="99"/>
  </w:style>
  <w:style w:type="character" w:customStyle="1" w:styleId="47">
    <w:name w:val="批注主题 字符"/>
    <w:basedOn w:val="46"/>
    <w:link w:val="17"/>
    <w:uiPriority w:val="99"/>
    <w:rPr>
      <w:b/>
      <w:bCs/>
    </w:rPr>
  </w:style>
  <w:style w:type="paragraph" w:customStyle="1" w:styleId="48">
    <w:name w:val="msonormal"/>
    <w:basedOn w:val="1"/>
    <w:uiPriority w:val="0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table" w:customStyle="1" w:styleId="49">
    <w:name w:val="网格型1"/>
    <w:qFormat/>
    <w:uiPriority w:val="39"/>
    <w:rPr>
      <w:rFonts w:ascii="Calibri" w:hAnsi="Calibri" w:eastAsia="Times New Roman" w:cs="Times New Roman"/>
    </w:r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0" w:type="dxa"/>
        <w:bottom w:w="0" w:type="dxa"/>
        <w:right w:w="0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="http://schemas.openxmlformats.org/officeDocument/2006/bibliography" xmlns:b="http://schemas.openxmlformats.org/officeDocument/2006/bibliography" SelectedStyle="\APASixthEditionOfficeOnline.xsl" Version="6" StyleName="APA"/>
</file>

<file path=customXml/itemProps1.xml><?xml version="1.0" encoding="utf-8"?>
<ds:datastoreItem xmlns:ds="http://schemas.openxmlformats.org/officeDocument/2006/customXml" ds:itemID="{41B76041-215C-4C37-8F92-197B179667E1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25</Pages>
  <Words>172</Words>
  <Characters>212</Characters>
  <Lines>18</Lines>
  <Paragraphs>5</Paragraphs>
  <TotalTime>1</TotalTime>
  <ScaleCrop>false</ScaleCrop>
  <LinksUpToDate>false</LinksUpToDate>
  <CharactersWithSpaces>216</CharactersWithSpaces>
  <Application>WPS Office_12.1.28492.28492_F1E327BC-269C-435d-A152-05C5408002CA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2025-08-12T22:58:00Z</dcterms:created>
  <dc:creator>璐 张</dc:creator>
  <cp:lastModifiedBy>天琼恩泽</cp:lastModifiedBy>
  <cp:lastPrinted>2025-07-04T02:25:00Z</cp:lastPrinted>
  <dcterms:modified xsi:type="dcterms:W3CDTF">2026-09-01T17:15:28Z</dcterms:modified>
  <cp:revision>70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eyJoZGlkIjoiY2QyMDRjOGQ3NzQ2NWRiNmI1MjVmODZjYzEzNDBhOWQiLCJ1c2VySWQiOiIyNDAzNTIzMSJ9</vt:lpwstr>
  </property>
  <property fmtid="{D5CDD505-2E9C-101B-9397-08002B2CF9AE}" pid="3" name="KSOProductBuildVer">
    <vt:lpwstr>2052-12.1.28492.28492</vt:lpwstr>
  </property>
  <property fmtid="{D5CDD505-2E9C-101B-9397-08002B2CF9AE}" pid="4" name="ICV">
    <vt:lpwstr>C57A3DEA73AA7786CA31816A105AF912_43</vt:lpwstr>
  </property>
</Properties>
</file>