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02需求分析与百万级口径"/>
    <w:p>
      <w:pPr>
        <w:pStyle w:val="Heading1"/>
      </w:pPr>
      <w:r>
        <w:rPr>
          <w:rFonts w:hint="eastAsia"/>
        </w:rPr>
        <w:t xml:space="preserve">教学方案（教案）U02：需求分析与百万级口径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周次：第2周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知识目标：掌握需求规格要素与百万口径5项指标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技能目标：能撰写可量化的需求文档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重点：业务诉求→可量化需求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难点：口径：100万注册/10万DAU/2万在线/API</w:t>
      </w:r>
      <w:r>
        <w:t xml:space="preserve"> 5-10K QPS/LLM 50-200 QPS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业务诉求→可量化需求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口径：100万注册/10万DAU/2万在线/API</w:t>
            </w:r>
            <w:r>
              <w:t xml:space="preserve"> 5-10K QPS/LLM 50-200 QPS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费曼题：解释’只承诺业务结果’为什么重要（两人互讲+抽3人全班讲）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实训任务：实训1：撰写《需求规格说明书》初稿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【应用】给出你组项目的验收标准3条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需求规格说明书1份/组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学习平台；命名：学号-姓名-U02。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2026-10-30T00:52:23Z</dcterms:created>
  <dcterms:modified xsi:type="dcterms:W3CDTF">2026-10-30T00:52:23Z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