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10mcp协议与a2a互操作"/>
    <w:p>
      <w:pPr>
        <w:pStyle w:val="Heading1"/>
      </w:pPr>
      <w:r>
        <w:rPr>
          <w:rFonts w:hint="eastAsia"/>
        </w:rPr>
        <w:t xml:space="preserve">教学方案（教案）U10：MCP协议与A2A互操作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周次：第10周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知识目标：掌握MCP工具协议与A2A智能体协议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技能目标：能注册MCP工具并完成A2A对话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重点：MCP</w:t>
      </w:r>
      <w:r>
        <w:t xml:space="preserve"> Streamable-HTTP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难点：12工具开发与_sanitize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MCP Streamable-HTTP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12工具开发与_sanitize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费曼题：区分MCP与A2A（两人互讲+抽3人全班讲）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实训任务：实训5：注册1个MCP工具+两智能体A2A对话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【评价】MCP工具参数校验为什么必须？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A2A对话截图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学习平台；命名：学号-姓名-U10。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2026-10-30T00:52:36Z</dcterms:created>
  <dcterms:modified xsi:type="dcterms:W3CDTF">2026-10-30T00:52:36Z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