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4容器化与k8s部署运维"/>
    <w:p>
      <w:pPr>
        <w:pStyle w:val="Heading1"/>
      </w:pPr>
      <w:r>
        <w:rPr>
          <w:rFonts w:hint="eastAsia"/>
        </w:rPr>
        <w:t xml:space="preserve">教学方案（教案）U14：容器化与K8S部署运维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周次：第14周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知识目标：掌握Docker/K8S基础与监控体系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技能目标：能编写并apply部署yaml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重点：Deployment/Service/ConfigMap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难点：Prometheus/Grafana/Loki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Deployment/Service/ConfigMap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t xml:space="preserve">Prometheus/Grafana/Loki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费曼题：讲解’为什么改配置不用set</w:t>
            </w:r>
            <w:r>
              <w:t xml:space="preserve"> </w:t>
            </w:r>
            <w:r>
              <w:rPr>
                <w:rFonts w:hint="eastAsia"/>
              </w:rPr>
              <w:t xml:space="preserve">env’（两人互讲+抽3人全班讲）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实训任务：实训：编写yaml并部署1个服务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【应用】写出滚动更新策略yaml片段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部署截图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学习平台；命名：学号-姓名-U14。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2026-10-30T00:52:43Z</dcterms:created>
  <dcterms:modified xsi:type="dcterms:W3CDTF">2026-10-30T00:52:43Z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