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6期末答辩与成果汇报"/>
    <w:p>
      <w:pPr>
        <w:pStyle w:val="Heading1"/>
      </w:pPr>
      <w:r>
        <w:rPr>
          <w:rFonts w:hint="eastAsia"/>
        </w:rPr>
        <w:t xml:space="preserve">教学方案（教案）U16：期末答辩与成果汇报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知识目标：综合运用全课程知识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技能目标：能完整演示并答辩项目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重点：答辩流程与评分标准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难点：双元制成果汇报要求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答辩流程与评分标准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双元制成果汇报要求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费曼题：分享’最难忘的坑与成长’（两人互讲+抽3人全班讲）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实训任务：答辩：每组15分钟演示+答辩，双评委评分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【创造】项目答辩综合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作品集+答辩PPT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2026-10-30T00:52:46Z</dcterms:created>
  <dcterms:modified xsi:type="dcterms:W3CDTF">2026-10-30T00:52:46Z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