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上线报告launch-report-连锁餐饮智能体平台"/>
    <w:p>
      <w:pPr>
        <w:pStyle w:val="Heading1"/>
      </w:pPr>
      <w:r>
        <w:rPr>
          <w:rFonts w:hint="eastAsia"/>
        </w:rPr>
        <w:t xml:space="preserve">上线报告（Launch</w:t>
      </w:r>
      <w:r>
        <w:t xml:space="preserve"> </w:t>
      </w:r>
      <w:r>
        <w:rPr>
          <w:rFonts w:hint="eastAsia"/>
        </w:rPr>
        <w:t xml:space="preserve">Report）·</w:t>
      </w:r>
      <w:r>
        <w:t xml:space="preserve"> </w:t>
      </w:r>
      <w:r>
        <w:rPr>
          <w:rFonts w:hint="eastAsia"/>
        </w:rPr>
        <w:t xml:space="preserve">连锁餐饮智能体平台</w:t>
      </w:r>
    </w:p>
    <w:p>
      <w:pPr>
        <w:pStyle w:val="BlockText"/>
      </w:pPr>
      <w:r>
        <w:rPr>
          <w:rFonts w:hint="eastAsia"/>
          <w:b/>
          <w:bCs/>
        </w:rPr>
        <w:t xml:space="preserve">V2.1附录（2026-10-25重构后）</w:t>
      </w:r>
      <w:r>
        <w:rPr>
          <w:rFonts w:hint="eastAsia"/>
        </w:rPr>
        <w:t xml:space="preserve">：按04审查报告完成R1-R10重构——Harness/事件驱动/语义缓存/World</w:t>
      </w:r>
      <w:r>
        <w:t xml:space="preserve"> </w:t>
      </w:r>
      <w:r>
        <w:rPr>
          <w:rFonts w:hint="eastAsia"/>
        </w:rPr>
        <w:t xml:space="preserve">Model/A2A/OTel/前端三页/Hermes实验/ADR清偿（0009-0015）。功能43/43、性能七梯度取证（含</w:t>
      </w:r>
      <w:r>
        <w:rPr>
          <w:rFonts w:hint="eastAsia"/>
          <w:b/>
          <w:bCs/>
        </w:rPr>
        <w:t xml:space="preserve">10万并发连接0错误</w:t>
      </w:r>
      <w:r>
        <w:rPr>
          <w:rFonts w:hint="eastAsia"/>
        </w:rPr>
        <w:t xml:space="preserve">）、K6+Locust替代自制脚本。最新结论：</w:t>
      </w:r>
      <w:r>
        <w:rPr>
          <w:rFonts w:hint="eastAsia"/>
          <w:b/>
          <w:bCs/>
        </w:rPr>
        <w:t xml:space="preserve">维持GO</w:t>
      </w:r>
      <w:r>
        <w:rPr>
          <w:rFonts w:hint="eastAsia"/>
        </w:rPr>
        <w:t xml:space="preserve">，详见05功能测试报告与06性能测试报告。</w:t>
      </w:r>
    </w:p>
    <w:p>
      <w:pPr>
        <w:pStyle w:val="BlockText"/>
      </w:pPr>
      <w:r>
        <w:rPr>
          <w:rFonts w:hint="eastAsia"/>
        </w:rPr>
        <w:t xml:space="preserve">日期：2026-10-25</w:t>
      </w:r>
      <w:r>
        <w:t xml:space="preserve">　|　</w:t>
      </w:r>
      <w:r>
        <w:rPr>
          <w:rFonts w:hint="eastAsia"/>
        </w:rPr>
        <w:t xml:space="preserve">状态：</w:t>
      </w:r>
      <w:r>
        <w:rPr>
          <w:rFonts w:hint="eastAsia"/>
          <w:b/>
          <w:bCs/>
        </w:rPr>
        <w:t xml:space="preserve">具备上线条件（GO）</w:t>
      </w:r>
      <w:r>
        <w:t xml:space="preserve"> </w:t>
      </w:r>
      <w:r>
        <w:rPr>
          <w:rFonts w:hint="eastAsia"/>
        </w:rPr>
        <w:t xml:space="preserve">覆盖：Phase</w:t>
      </w:r>
      <w:r>
        <w:t xml:space="preserve"> </w:t>
      </w:r>
      <w:r>
        <w:rPr>
          <w:rFonts w:hint="eastAsia"/>
        </w:rPr>
        <w:t xml:space="preserve">0（数据+POC）/</w:t>
      </w:r>
      <w:r>
        <w:t xml:space="preserve"> Phase </w:t>
      </w:r>
      <w:r>
        <w:rPr>
          <w:rFonts w:hint="eastAsia"/>
        </w:rPr>
        <w:t xml:space="preserve">1（MVP增强）/</w:t>
      </w:r>
      <w:r>
        <w:t xml:space="preserve"> Phase </w:t>
      </w:r>
      <w:r>
        <w:rPr>
          <w:rFonts w:hint="eastAsia"/>
        </w:rPr>
        <w:t xml:space="preserve">2（采购闭环+压测）/</w:t>
      </w:r>
      <w:r>
        <w:t xml:space="preserve"> Phase </w:t>
      </w:r>
      <w:r>
        <w:rPr>
          <w:rFonts w:hint="eastAsia"/>
        </w:rPr>
        <w:t xml:space="preserve">3（预测+C端+百万口径压测）</w:t>
      </w:r>
    </w:p>
    <w:p>
      <w:r>
        <w:pict>
          <v:rect style="width:0;height:1.5pt" o:hralign="center" o:hrstd="t" o:hr="t"/>
        </w:pict>
      </w:r>
    </w:p>
    <w:bookmarkStart w:id="13" w:name="三阶段执行与验收汇总"/>
    <w:p>
      <w:pPr>
        <w:pStyle w:val="Heading2"/>
      </w:pPr>
      <w:r>
        <w:t xml:space="preserve">1. </w:t>
      </w:r>
      <w:r>
        <w:rPr>
          <w:rFonts w:hint="eastAsia"/>
        </w:rPr>
        <w:t xml:space="preserve">三阶段执行与验收汇总</w:t>
      </w:r>
    </w:p>
    <w:bookmarkStart w:id="9" w:name="phase-0-数据资产与poc通过"/>
    <w:p>
      <w:pPr>
        <w:pStyle w:val="Heading3"/>
      </w:pPr>
      <w:r>
        <w:t xml:space="preserve">Phase 0 — </w:t>
      </w:r>
      <w:r>
        <w:rPr>
          <w:rFonts w:hint="eastAsia"/>
        </w:rPr>
        <w:t xml:space="preserve">数据资产与POC（✅通过）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1.34亿行模拟数据入TiDB（销售6583万/订单1636万/出入库4953万/会员100万）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Redis真集群组建（3节点16384槽）+</w:t>
      </w:r>
      <w:r>
        <w:t xml:space="preserve"> warmup </w:t>
      </w:r>
      <w:r>
        <w:rPr>
          <w:rFonts w:hint="eastAsia"/>
        </w:rPr>
        <w:t xml:space="preserve">5.2万键（一键可重放）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LLM吞吐实测定SLO（反P2）：4b≈5</w:t>
      </w:r>
      <w:r>
        <w:t xml:space="preserve"> tok/s、8b≈2.8 </w:t>
      </w:r>
      <w:r>
        <w:rPr>
          <w:rFonts w:hint="eastAsia"/>
        </w:rPr>
        <w:t xml:space="preserve">tok/s@24线程</w:t>
      </w:r>
    </w:p>
    <w:bookmarkEnd w:id="9"/>
    <w:bookmarkStart w:id="10" w:name="phase-1-mvp增强通过"/>
    <w:p>
      <w:pPr>
        <w:pStyle w:val="Heading3"/>
      </w:pPr>
      <w:r>
        <w:t xml:space="preserve">Phase 1 — </w:t>
      </w:r>
      <w:r>
        <w:rPr>
          <w:rFonts w:hint="eastAsia"/>
        </w:rPr>
        <w:t xml:space="preserve">MVP增强（✅通过）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数据质量门禁（5规则引擎+CronJob+GraphQL）</w:t>
            </w:r>
          </w:p>
        </w:tc>
        <w:tc>
          <w:tcPr/>
          <w:p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 xml:space="preserve">PASS，可溯源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H5领料扫码（斤→克强制换算落库）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2斤=1000g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智能体工具直答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秒级、CONF</w:t>
            </w:r>
            <w:r>
              <w:t xml:space="preserve"> </w:t>
            </w:r>
            <w:r>
              <w:rPr>
                <w:rFonts w:hint="eastAsia"/>
              </w:rPr>
              <w:t xml:space="preserve">HIGH、溯源通过（</w:t>
            </w:r>
            <w:r>
              <w:rPr>
                <w:rFonts w:hint="eastAsia"/>
              </w:rPr>
              <w:t xml:space="preserve">“8公斤牛肉”</w:t>
            </w:r>
            <w:r>
              <w:rPr>
                <w:rFonts w:hint="eastAsia"/>
              </w:rPr>
              <w:t xml:space="preserve">回归防线生效）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FAQ语义缓存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命中P95=296ms（vs</w:t>
            </w:r>
            <w:r>
              <w:t xml:space="preserve"> </w:t>
            </w:r>
            <w:r>
              <w:rPr>
                <w:rFonts w:hint="eastAsia"/>
              </w:rPr>
              <w:t xml:space="preserve">LLM路径分钟级）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预警推送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50条/日</w:t>
            </w:r>
            <w:r>
              <w:t xml:space="preserve"> </w:t>
            </w:r>
            <w:r>
              <w:rPr>
                <w:rFonts w:hint="eastAsia"/>
              </w:rPr>
              <w:t xml:space="preserve">log_only通道（企微webhook接入位就绪）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18/18 pytest + </w:t>
            </w:r>
            <w:r>
              <w:rPr>
                <w:rFonts w:hint="eastAsia"/>
              </w:rPr>
              <w:t xml:space="preserve">服务端JUnit全绿</w:t>
            </w:r>
          </w:p>
        </w:tc>
      </w:tr>
    </w:tbl>
    <w:bookmarkEnd w:id="10"/>
    <w:bookmarkStart w:id="11" w:name="phase-2-采购闭环压测通过"/>
    <w:p>
      <w:pPr>
        <w:pStyle w:val="Heading3"/>
      </w:pPr>
      <w:r>
        <w:t xml:space="preserve">Phase 2 — </w:t>
      </w:r>
      <w:r>
        <w:rPr>
          <w:rFonts w:hint="eastAsia"/>
        </w:rPr>
        <w:t xml:space="preserve">采购闭环+压测（✅通过）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采购建议单（AI生成→</w:t>
            </w:r>
            <w:r>
              <w:rPr>
                <w:rFonts w:hint="eastAsia"/>
                <w:b/>
                <w:bCs/>
              </w:rPr>
              <w:t xml:space="preserve">人在环</w:t>
            </w:r>
            <w:r>
              <w:rPr>
                <w:rFonts w:hint="eastAsia"/>
              </w:rPr>
              <w:t xml:space="preserve">审批）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DRAFT→APPROVED全流转</w:t>
            </w:r>
            <w:r>
              <w:t xml:space="preserve"> </w:t>
            </w:r>
            <w:r>
              <w:rPr>
                <w:rFonts w:hint="eastAsia"/>
              </w:rPr>
              <w:t xml:space="preserve">✓，AI不可越过审批（SuggestionFlowTest</w:t>
            </w:r>
            <w:r>
              <w:t xml:space="preserve"> </w:t>
            </w:r>
            <w:r>
              <w:rPr>
                <w:rFonts w:hint="eastAsia"/>
              </w:rPr>
              <w:t xml:space="preserve">4/4）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比价选商（近90天均价+评分≥3.5）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自动选商+空缺待指派双路径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浪费月报（当期vs基线，Go标准≥10%）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接口✓；模拟数据无改善趋势（真实试点评估）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负载测试第一轮</w:t>
            </w:r>
          </w:p>
        </w:tc>
        <w:tc>
          <w:tcPr/>
          <w:p>
            <w:pPr>
              <w:pStyle w:val="Compact"/>
            </w:pPr>
            <w:r>
              <w:t xml:space="preserve">S1 P95 585ms→</w:t>
            </w:r>
            <w:r>
              <w:rPr>
                <w:rFonts w:hint="eastAsia"/>
                <w:b/>
                <w:bCs/>
              </w:rPr>
              <w:t xml:space="preserve">调优后100ms</w:t>
            </w:r>
            <w:r>
              <w:rPr>
                <w:rFonts w:hint="eastAsia"/>
              </w:rPr>
              <w:t xml:space="preserve">（L1缓存4.7倍提升）</w:t>
            </w:r>
          </w:p>
        </w:tc>
      </w:tr>
    </w:tbl>
    <w:bookmarkEnd w:id="11"/>
    <w:bookmarkStart w:id="12" w:name="phase-3-预测c端百万口径压测通过"/>
    <w:p>
      <w:pPr>
        <w:pStyle w:val="Heading3"/>
      </w:pPr>
      <w:r>
        <w:t xml:space="preserve">Phase 3 — </w:t>
      </w:r>
      <w:r>
        <w:rPr>
          <w:rFonts w:hint="eastAsia"/>
        </w:rPr>
        <w:t xml:space="preserve">预测+C端+百万口径压测（✅通过）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daily_demand预计算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1639万行（按店循环，防内存超限）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需求预测（加权移动平均×周内因子×趋势+回测MAPE）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全链路✓；MAPE</w:t>
            </w:r>
            <w:r>
              <w:t xml:space="preserve"> </w:t>
            </w:r>
            <w:r>
              <w:rPr>
                <w:rFonts w:hint="eastAsia"/>
              </w:rPr>
              <w:t xml:space="preserve">62%→置信度LOW</w:t>
            </w:r>
            <w:r>
              <w:rPr>
                <w:rFonts w:hint="eastAsia"/>
                <w:b/>
                <w:bCs/>
              </w:rPr>
              <w:t xml:space="preserve">如实输出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数据依赖声明（反P6）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滞后&gt;3天自动降级+fallback</w:t>
            </w:r>
            <w:r>
              <w:t xml:space="preserve"> </w:t>
            </w:r>
            <w:r>
              <w:rPr>
                <w:rFonts w:hint="eastAsia"/>
              </w:rPr>
              <w:t xml:space="preserve">✓（pytest守护）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会员服务（积分/券）+</w:t>
            </w:r>
            <w:r>
              <w:t xml:space="preserve"> </w:t>
            </w:r>
            <w:r>
              <w:rPr>
                <w:rFonts w:hint="eastAsia"/>
              </w:rPr>
              <w:t xml:space="preserve">C端H5点餐助手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资料/积分/券全通，H5</w:t>
            </w:r>
            <w:r>
              <w:t xml:space="preserve"> HTTP 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百万口径压测（60s/场景）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见下表，四场景全达标</w:t>
            </w:r>
          </w:p>
        </w:tc>
      </w:tr>
    </w:tbl>
    <w:bookmarkEnd w:id="12"/>
    <w:bookmarkEnd w:id="13"/>
    <w:bookmarkStart w:id="14" w:name="百万口径压测报告终版"/>
    <w:p>
      <w:pPr>
        <w:pStyle w:val="Heading2"/>
      </w:pPr>
      <w:r>
        <w:t xml:space="preserve">2. </w:t>
      </w:r>
      <w:r>
        <w:rPr>
          <w:rFonts w:hint="eastAsia"/>
        </w:rPr>
        <w:t xml:space="preserve">百万口径压测报告（终版）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</w:p>
        </w:tc>
        <w:tc>
          <w:tcPr/>
          <w:p>
            <w:pPr>
              <w:pStyle w:val="Compact"/>
            </w:pPr>
            <w:r>
              <w:t xml:space="preserve">RPS</w:t>
            </w:r>
          </w:p>
        </w:tc>
        <w:tc>
          <w:tcPr/>
          <w:p>
            <w:pPr>
              <w:pStyle w:val="Compact"/>
            </w:pPr>
            <w:r>
              <w:t xml:space="preserve">P50</w:t>
            </w:r>
          </w:p>
        </w:tc>
        <w:tc>
          <w:tcPr/>
          <w:p>
            <w:pPr>
              <w:pStyle w:val="Compact"/>
            </w:pPr>
            <w:r>
              <w:t xml:space="preserve">P95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</w:t>
            </w:r>
            <w:r>
              <w:rPr>
                <w:rFonts w:hint="eastAsia"/>
              </w:rPr>
              <w:t xml:space="preserve">菜单浏览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2599</w:t>
            </w:r>
          </w:p>
        </w:tc>
        <w:tc>
          <w:tcPr/>
          <w:p>
            <w:pPr>
              <w:pStyle w:val="Compact"/>
            </w:pPr>
            <w:r>
              <w:t xml:space="preserve">24ms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79ms</w:t>
            </w:r>
          </w:p>
        </w:tc>
        <w:tc>
          <w:tcPr/>
          <w:p>
            <w:pPr>
              <w:pStyle w:val="Compact"/>
            </w:pPr>
            <w:r>
              <w:t xml:space="preserve">91ms</w:t>
            </w:r>
          </w:p>
        </w:tc>
        <w:tc>
          <w:tcPr/>
          <w:p>
            <w:pPr>
              <w:pStyle w:val="Compact"/>
            </w:pPr>
            <w:r>
              <w:t xml:space="preserve">0.26%</w:t>
            </w:r>
          </w:p>
        </w:tc>
        <w:tc>
          <w:tcPr/>
          <w:p>
            <w:pPr>
              <w:pStyle w:val="Compact"/>
            </w:pPr>
            <w:r>
              <w:t xml:space="preserve">P95&lt;300ms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</w:t>
            </w:r>
            <w:r>
              <w:rPr>
                <w:rFonts w:hint="eastAsia"/>
              </w:rPr>
              <w:t xml:space="preserve">差异报表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439</w:t>
            </w:r>
          </w:p>
        </w:tc>
        <w:tc>
          <w:tcPr/>
          <w:p>
            <w:pPr>
              <w:pStyle w:val="Compact"/>
            </w:pPr>
            <w:r>
              <w:t xml:space="preserve">109ms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160ms</w:t>
            </w:r>
          </w:p>
        </w:tc>
        <w:tc>
          <w:tcPr/>
          <w:p>
            <w:pPr>
              <w:pStyle w:val="Compact"/>
            </w:pPr>
            <w:r>
              <w:t xml:space="preserve">184ms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P95&lt;1s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智能体FAQ(缓存)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238ms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296ms</w:t>
            </w:r>
          </w:p>
        </w:tc>
        <w:tc>
          <w:tcPr/>
          <w:p>
            <w:pPr>
              <w:pStyle w:val="Compact"/>
            </w:pPr>
            <w:r>
              <w:t xml:space="preserve">324ms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P95&lt;1s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</w:t>
            </w:r>
            <w:r>
              <w:rPr>
                <w:rFonts w:hint="eastAsia"/>
              </w:rPr>
              <w:t xml:space="preserve">领料写入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1498</w:t>
            </w:r>
          </w:p>
        </w:tc>
        <w:tc>
          <w:tcPr/>
          <w:p>
            <w:pPr>
              <w:pStyle w:val="Compact"/>
            </w:pPr>
            <w:r>
              <w:t xml:space="preserve">68ms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99ms</w:t>
            </w:r>
          </w:p>
        </w:tc>
        <w:tc>
          <w:tcPr/>
          <w:p>
            <w:pPr>
              <w:pStyle w:val="Compact"/>
            </w:pPr>
            <w:r>
              <w:t xml:space="preserve">115ms</w:t>
            </w:r>
          </w:p>
        </w:tc>
        <w:tc>
          <w:tcPr/>
          <w:p>
            <w:pPr>
              <w:pStyle w:val="Compact"/>
            </w:pPr>
            <w:r>
              <w:t xml:space="preserve">0.16%</w:t>
            </w:r>
          </w:p>
        </w:tc>
        <w:tc>
          <w:tcPr/>
          <w:p>
            <w:pPr>
              <w:pStyle w:val="Compact"/>
            </w:pPr>
            <w:r>
              <w:t xml:space="preserve">P95&lt;500ms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口径对齐（§1.4合同附件）</w:t>
      </w:r>
      <w:r>
        <w:rPr>
          <w:rFonts w:hint="eastAsia"/>
        </w:rPr>
        <w:t xml:space="preserve">：S1+S4实测4100</w:t>
      </w:r>
      <w:r>
        <w:t xml:space="preserve"> </w:t>
      </w:r>
      <w:r>
        <w:rPr>
          <w:rFonts w:hint="eastAsia"/>
        </w:rPr>
        <w:t xml:space="preserve">RPS、P95&lt;100ms、错误率&lt;1%，叠加副本水平扩展（当前每服务仅2副本，HPA就绪）可覆盖”峰值API</w:t>
      </w:r>
      <w:r>
        <w:t xml:space="preserve"> 5-10K </w:t>
      </w:r>
      <w:r>
        <w:rPr>
          <w:rFonts w:hint="eastAsia"/>
        </w:rPr>
        <w:t xml:space="preserve">QPS”；LLM对话口径（50-200</w:t>
      </w:r>
      <w:r>
        <w:t xml:space="preserve"> </w:t>
      </w:r>
      <w:r>
        <w:rPr>
          <w:rFonts w:hint="eastAsia"/>
        </w:rPr>
        <w:t xml:space="preserve">QPS）由”FAQ缓存83</w:t>
      </w:r>
      <w:r>
        <w:t xml:space="preserve"> </w:t>
      </w:r>
      <w:r>
        <w:rPr>
          <w:rFonts w:hint="eastAsia"/>
        </w:rPr>
        <w:t xml:space="preserve">RPS@20并发</w:t>
      </w:r>
      <w:r>
        <w:t xml:space="preserve"> + </w:t>
      </w:r>
      <w:r>
        <w:rPr>
          <w:rFonts w:hint="eastAsia"/>
        </w:rPr>
        <w:t xml:space="preserve">工具直答</w:t>
      </w:r>
      <w:r>
        <w:t xml:space="preserve"> + </w:t>
      </w:r>
      <w:r>
        <w:rPr>
          <w:rFonts w:hint="eastAsia"/>
        </w:rPr>
        <w:t xml:space="preserve">语义缓存70%命中率”承接，真实LLM推理仅承担约20%流量——与设计一致。</w:t>
      </w:r>
    </w:p>
    <w:bookmarkEnd w:id="14"/>
    <w:bookmarkStart w:id="15" w:name="最终架构清单fnb-prod全部在线"/>
    <w:p>
      <w:pPr>
        <w:pStyle w:val="Heading2"/>
      </w:pPr>
      <w:r>
        <w:t xml:space="preserve">3. </w:t>
      </w:r>
      <w:r>
        <w:rPr>
          <w:rFonts w:hint="eastAsia"/>
        </w:rPr>
        <w:t xml:space="preserve">最终架构清单（fnb-prod，全部在线）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svc-recipe 0.2.1</w:t>
            </w:r>
          </w:p>
        </w:tc>
        <w:tc>
          <w:tcPr/>
          <w:p>
            <w:pPr>
              <w:pStyle w:val="Compact"/>
            </w:pPr>
            <w:r>
              <w:t xml:space="preserve">Java21+SpringBoot3.3+</w:t>
            </w:r>
            <w:r>
              <w:rPr>
                <w:rFonts w:hint="eastAsia"/>
                <w:b/>
                <w:bCs/>
              </w:rPr>
              <w:t xml:space="preserve">Undertow+虚拟线程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菜品/BOM/主数据+MDM质量API（L1</w:t>
            </w:r>
            <w:r>
              <w:t xml:space="preserve"> </w:t>
            </w:r>
            <w:r>
              <w:rPr>
                <w:rFonts w:hint="eastAsia"/>
              </w:rPr>
              <w:t xml:space="preserve">Caffeine）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svc-inventory 0.2.1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差异/预警/月报（TiDB读写分源）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svc-procurement 0.2.0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比价/建议单/人在环审批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svc-member 0.1.0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会员/积分/券（C端百万入口）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svc-portal 0.2.0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同上+Spring</w:t>
            </w:r>
            <w:r>
              <w:t xml:space="preserve"> GraphQL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GraphQL </w:t>
            </w:r>
            <w:r>
              <w:rPr>
                <w:rFonts w:hint="eastAsia"/>
              </w:rPr>
              <w:t xml:space="preserve">BFF+SSE代理+JWT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agent-runtime 0.4.3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Litestar+uvicorn</w:t>
            </w:r>
            <w:r>
              <w:t xml:space="preserve">+LangGraph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5意图路由→MCP工具直答→溯源Review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mcp-fnb-tools 0.3.0</w:t>
            </w:r>
          </w:p>
        </w:tc>
        <w:tc>
          <w:tcPr/>
          <w:p>
            <w:pPr>
              <w:pStyle w:val="Compact"/>
            </w:pPr>
            <w:r>
              <w:t xml:space="preserve">FastMCP(streamable-http)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10个业务工具，SQL可溯源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svc-forecast 0.1.1</w:t>
            </w:r>
          </w:p>
        </w:tc>
        <w:tc>
          <w:tcPr/>
          <w:p>
            <w:pPr>
              <w:pStyle w:val="Compact"/>
            </w:pPr>
            <w:r>
              <w:t xml:space="preserve">Litestar+uvicorn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需求预测+置信度+依赖声明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web-admin / h5-store / h5-member</w:t>
            </w:r>
          </w:p>
        </w:tc>
        <w:tc>
          <w:tcPr/>
          <w:p>
            <w:pPr>
              <w:pStyle w:val="Compact"/>
            </w:pPr>
            <w:r>
              <w:t xml:space="preserve">Vue3</w:t>
            </w:r>
          </w:p>
        </w:tc>
        <w:tc>
          <w:tcPr/>
          <w:p>
            <w:pPr>
              <w:pStyle w:val="Compact"/>
            </w:pPr>
            <w:r>
              <w:t xml:space="preserve">1/1/1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管理端/门店扫码/C端会员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ollama-fnb</w:t>
            </w:r>
          </w:p>
        </w:tc>
        <w:tc>
          <w:tcPr/>
          <w:p>
            <w:pPr>
              <w:pStyle w:val="Compact"/>
            </w:pPr>
            <w:r>
              <w:t xml:space="preserve">Ollama 0.6.8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专属推理（并行1/驻留1）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CronJob×4</w:t>
            </w:r>
          </w:p>
        </w:tc>
        <w:tc>
          <w:tcPr/>
          <w:p>
            <w:pPr>
              <w:pStyle w:val="Compact"/>
            </w:pPr>
            <w:r>
              <w:t xml:space="preserve">tools 0.2.4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建表/质量门禁/预警计算/预警推送</w:t>
            </w:r>
          </w:p>
        </w:tc>
      </w:tr>
    </w:tbl>
    <w:bookmarkEnd w:id="15"/>
    <w:bookmarkStart w:id="16" w:name="上线检查单gono-go"/>
    <w:p>
      <w:pPr>
        <w:pStyle w:val="Heading2"/>
      </w:pPr>
      <w:r>
        <w:t xml:space="preserve">4. </w:t>
      </w:r>
      <w:r>
        <w:rPr>
          <w:rFonts w:hint="eastAsia"/>
        </w:rPr>
        <w:t xml:space="preserve">上线检查单（Go/No-Go）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功能验收（三阶段全部Go标准）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压测达标（四场景，百万口径）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TDD/BDD测试资产</w:t>
            </w:r>
          </w:p>
        </w:tc>
        <w:tc>
          <w:tcPr/>
          <w:p>
            <w:pPr>
              <w:pStyle w:val="Compact"/>
            </w:pPr>
            <w:r>
              <w:t xml:space="preserve">✅ 18 pytest + </w:t>
            </w:r>
            <w:r>
              <w:rPr>
                <w:rFonts w:hint="eastAsia"/>
              </w:rPr>
              <w:t xml:space="preserve">JUnit×4模块</w:t>
            </w:r>
            <w:r>
              <w:t xml:space="preserve"> + Gherkin×2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可观测（OTel注解/Prometheus/Grafana/Loki）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指标抓取注解已挂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备份恢复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velero未部署（上线后一周内补）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安全（JWT/脱敏/权限）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JWT静态密钥→上线后接入IAM；Redis密码入Secret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真实数据切换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按Phase</w:t>
            </w:r>
            <w:r>
              <w:t xml:space="preserve"> </w:t>
            </w:r>
            <w:r>
              <w:rPr>
                <w:rFonts w:hint="eastAsia"/>
              </w:rPr>
              <w:t xml:space="preserve">0清单复评（别名映射/单位字典已就绪）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灰度方案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双Deployment切流就绪（金丝雀）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教学实训包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全部仓库+文档可作高职AI实训案例</w:t>
            </w:r>
          </w:p>
        </w:tc>
      </w:tr>
    </w:tbl>
    <w:bookmarkEnd w:id="16"/>
    <w:bookmarkStart w:id="17" w:name="上线后两周计划sre"/>
    <w:p>
      <w:pPr>
        <w:pStyle w:val="Heading2"/>
      </w:pPr>
      <w:r>
        <w:t xml:space="preserve">5. </w:t>
      </w:r>
      <w:r>
        <w:rPr>
          <w:rFonts w:hint="eastAsia"/>
        </w:rPr>
        <w:t xml:space="preserve">上线后两周计划（SRE）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Velero备份策略</w:t>
      </w:r>
      <w:r>
        <w:t xml:space="preserve"> + </w:t>
      </w:r>
      <w:r>
        <w:rPr>
          <w:rFonts w:hint="eastAsia"/>
        </w:rPr>
        <w:t xml:space="preserve">灾难恢复演练（RTO&lt;1h）；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IAM对接（等保三级双因子）、审计日志入Loki；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LLM算力扩容评审（GPU节点或外部API，LiteLLM统一网关）；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语义缓存命中率看板（目标≥70%）与工具直答覆盖率提升；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真实门店试点3家：扫码率纳入考核，浪费率基线月报自动发送。</w:t>
      </w:r>
    </w:p>
    <w:bookmarkEnd w:id="17"/>
    <w:bookmarkStart w:id="18" w:name="结论"/>
    <w:p>
      <w:pPr>
        <w:pStyle w:val="Heading2"/>
      </w:pPr>
      <w:r>
        <w:t xml:space="preserve">6.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b/>
          <w:bCs/>
        </w:rPr>
        <w:t xml:space="preserve">GO</w:t>
      </w:r>
      <w:r>
        <w:rPr>
          <w:rFonts w:hint="eastAsia"/>
        </w:rPr>
        <w:t xml:space="preserve">。平台已具备：反P1-P7全部制度化防线、人在环AI治理、数字溯源反幻觉、四场景压测达标、百万注册用户架构容量。上线即进入”透明交付运营期”（红黄绿灯看板+双周演示+指标SQL可复核）。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2026-10-30T00:53:06Z</dcterms:created>
  <dcterms:modified xsi:type="dcterms:W3CDTF">2026-10-30T00:53:06Z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