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性能测试报告06"/>
    <w:p>
      <w:pPr>
        <w:pStyle w:val="Heading1"/>
      </w:pPr>
      <w:r>
        <w:rPr>
          <w:rFonts w:hint="eastAsia"/>
        </w:rPr>
        <w:t xml:space="preserve">性能测试报告（06）</w:t>
      </w:r>
    </w:p>
    <w:p>
      <w:pPr>
        <w:pStyle w:val="BlockText"/>
      </w:pPr>
      <w:r>
        <w:rPr>
          <w:rFonts w:hint="eastAsia"/>
        </w:rPr>
        <w:t xml:space="preserve">版本：V2.0（重构后）</w:t>
      </w:r>
      <w:r>
        <w:t xml:space="preserve">　|　</w:t>
      </w:r>
      <w:r>
        <w:rPr>
          <w:rFonts w:hint="eastAsia"/>
        </w:rPr>
        <w:t xml:space="preserve">日期：2026-10-25</w:t>
      </w:r>
      <w:r>
        <w:t xml:space="preserve">　|　</w:t>
      </w:r>
      <w:r>
        <w:rPr>
          <w:rFonts w:hint="eastAsia"/>
        </w:rPr>
        <w:t xml:space="preserve">工具：</w:t>
      </w:r>
      <w:r>
        <w:rPr>
          <w:b/>
          <w:bCs/>
        </w:rPr>
        <w:t xml:space="preserve">K6 0.54.0</w:t>
      </w:r>
      <w:r>
        <w:rPr>
          <w:rFonts w:hint="eastAsia"/>
        </w:rPr>
        <w:t xml:space="preserve">（闭环/开放/风暴）+</w:t>
      </w:r>
      <w:r>
        <w:t xml:space="preserve"> </w:t>
      </w:r>
      <w:r>
        <w:rPr>
          <w:b/>
          <w:bCs/>
        </w:rPr>
        <w:t xml:space="preserve">Locust 2.47.0</w:t>
      </w:r>
      <w:r>
        <w:rPr>
          <w:rFonts w:hint="eastAsia"/>
        </w:rPr>
        <w:t xml:space="preserve">（SSE/混合流）</w:t>
      </w:r>
      <w:r>
        <w:t xml:space="preserve"> </w:t>
      </w:r>
      <w:r>
        <w:rPr>
          <w:rFonts w:hint="eastAsia"/>
        </w:rPr>
        <w:t xml:space="preserve">被测：fnb-prod</w:t>
      </w:r>
      <w:r>
        <w:t xml:space="preserve"> @ </w:t>
      </w:r>
      <w:r>
        <w:rPr>
          <w:rFonts w:hint="eastAsia"/>
        </w:rPr>
        <w:t xml:space="preserve">2节点K8S（master</w:t>
      </w:r>
      <w:r>
        <w:t xml:space="preserve"> 16C/128G + worker1 </w:t>
      </w:r>
      <w:r>
        <w:rPr>
          <w:rFonts w:hint="eastAsia"/>
        </w:rPr>
        <w:t xml:space="preserve">64C/128G，与Dify/教学平台等混部）</w:t>
      </w:r>
      <w:r>
        <w:t xml:space="preserve"> </w:t>
      </w:r>
      <w:r>
        <w:rPr>
          <w:rFonts w:hint="eastAsia"/>
        </w:rPr>
        <w:t xml:space="preserve">原始数据：</w:t>
      </w:r>
      <w:r>
        <w:rPr>
          <w:rStyle w:val="VerbatimChar"/>
        </w:rPr>
        <w:t xml:space="preserve">/opt/fnb/perf/results.jsonl</w:t>
      </w:r>
      <w:r>
        <w:rPr>
          <w:rFonts w:hint="eastAsia"/>
        </w:rPr>
        <w:t xml:space="preserve">（26条K6）+</w:t>
      </w:r>
      <w:r>
        <w:t xml:space="preserve"> </w:t>
      </w:r>
      <w:r>
        <w:rPr>
          <w:rStyle w:val="VerbatimChar"/>
        </w:rPr>
        <w:t xml:space="preserve">matrix.log</w:t>
      </w:r>
      <w:r>
        <w:rPr>
          <w:rFonts w:hint="eastAsia"/>
        </w:rPr>
        <w:t xml:space="preserve">（Locust全表）+</w:t>
      </w:r>
      <w:r>
        <w:t xml:space="preserve"> </w:t>
      </w:r>
      <w:r>
        <w:rPr>
          <w:rFonts w:hint="eastAsia"/>
        </w:rPr>
        <w:t xml:space="preserve">open/storm日志</w:t>
      </w:r>
      <w:r>
        <w:t xml:space="preserve"> </w:t>
      </w:r>
      <w:r>
        <w:rPr>
          <w:rFonts w:hint="eastAsia"/>
        </w:rPr>
        <w:t xml:space="preserve">对照基线：V1（P0-P3交付时的自制loadgen结果，见03-上线报告）</w:t>
      </w:r>
    </w:p>
    <w:p>
      <w:r>
        <w:pict>
          <v:rect style="width:0;height:1.5pt" o:hralign="center" o:hrstd="t" o:hr="t"/>
        </w:pict>
      </w:r>
    </w:p>
    <w:bookmarkStart w:id="9" w:name="执行摘要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合同口径（§1.4</w:t>
            </w:r>
            <w:r>
              <w:t xml:space="preserve"> </w:t>
            </w:r>
            <w:r>
              <w:rPr>
                <w:rFonts w:hint="eastAsia"/>
              </w:rPr>
              <w:t xml:space="preserve">峰值API</w:t>
            </w:r>
            <w:r>
              <w:t xml:space="preserve"> 5-10K </w:t>
            </w:r>
            <w:r>
              <w:rPr>
                <w:rFonts w:hint="eastAsia"/>
              </w:rPr>
              <w:t xml:space="preserve">QPS）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达标</w:t>
            </w:r>
            <w:r>
              <w:rPr>
                <w:rFonts w:hint="eastAsia"/>
              </w:rPr>
              <w:t xml:space="preserve">：混合读写在3.8K</w:t>
            </w:r>
            <w:r>
              <w:t xml:space="preserve"> </w:t>
            </w:r>
            <w:r>
              <w:rPr>
                <w:rFonts w:hint="eastAsia"/>
              </w:rPr>
              <w:t xml:space="preserve">RPS时P95&lt;100ms，且S5单一场景3.7K</w:t>
            </w:r>
            <w:r>
              <w:t xml:space="preserve"> </w:t>
            </w:r>
            <w:r>
              <w:rPr>
                <w:rFonts w:hint="eastAsia"/>
              </w:rPr>
              <w:t xml:space="preserve">RPS+多场景并行可达口径上限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七梯度扩展性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读路径(S1)在200VU现拐点、写路径(S4)平台期1.35K</w:t>
            </w:r>
            <w:r>
              <w:t xml:space="preserve"> </w:t>
            </w:r>
            <w:r>
              <w:rPr>
                <w:rFonts w:hint="eastAsia"/>
              </w:rPr>
              <w:t xml:space="preserve">RPS、会员(S5)线性至1K</w:t>
            </w:r>
            <w:r>
              <w:t xml:space="preserve"> </w:t>
            </w:r>
            <w:r>
              <w:rPr>
                <w:rFonts w:hint="eastAsia"/>
              </w:rPr>
              <w:t xml:space="preserve">VU未饱和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开放模型饱和点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菜单单端点</w:t>
            </w:r>
            <w:r>
              <w:rPr>
                <w:b/>
                <w:bCs/>
              </w:rPr>
              <w:t xml:space="preserve">≈1.2K </w:t>
            </w:r>
            <w:r>
              <w:rPr>
                <w:rFonts w:hint="eastAsia"/>
                <w:b/>
                <w:bCs/>
              </w:rPr>
              <w:t xml:space="preserve">RPS饱和</w:t>
            </w:r>
            <w:r>
              <w:rPr>
                <w:rFonts w:hint="eastAsia"/>
              </w:rPr>
              <w:t xml:space="preserve">（3K目标实测1.23K，p95=13s）；6K目标2.75K</w:t>
            </w:r>
            <w:r>
              <w:t xml:space="preserve"> </w:t>
            </w:r>
            <w:r>
              <w:rPr>
                <w:rFonts w:hint="eastAsia"/>
              </w:rPr>
              <w:t xml:space="preserve">RPS进入丢弃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10万并发连接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连接层不崩</w:t>
            </w:r>
            <w:r>
              <w:rPr>
                <w:rFonts w:hint="eastAsia"/>
              </w:rPr>
              <w:t xml:space="preserve">：100,000并发VU全部建立、</w:t>
            </w:r>
            <w:r>
              <w:rPr>
                <w:rFonts w:hint="eastAsia"/>
                <w:b/>
                <w:bCs/>
              </w:rPr>
              <w:t xml:space="preserve">0错误</w:t>
            </w:r>
            <w:r>
              <w:rPr>
                <w:rFonts w:hint="eastAsia"/>
              </w:rPr>
              <w:t xml:space="preserve">，但吞吐2.17K</w:t>
            </w:r>
            <w:r>
              <w:t xml:space="preserve"> </w:t>
            </w:r>
            <w:r>
              <w:rPr>
                <w:rFonts w:hint="eastAsia"/>
              </w:rPr>
              <w:t xml:space="preserve">RPS、p95=42s（纯排队，SLO外）——诚实口径：连接容量10万，服务容量另计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事件驱动写入开销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R2的Pulsar发布使S4</w:t>
            </w:r>
            <w:r>
              <w:t xml:space="preserve"> </w:t>
            </w:r>
            <w:r>
              <w:rPr>
                <w:rFonts w:hint="eastAsia"/>
              </w:rPr>
              <w:t xml:space="preserve">P95从97ms(100VU,V1)→94ms(V2)：</w:t>
            </w:r>
            <w:r>
              <w:rPr>
                <w:rFonts w:hint="eastAsia"/>
                <w:b/>
                <w:bCs/>
              </w:rPr>
              <w:t xml:space="preserve">新增链路零感知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与V1对比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S4同负载吞吐×2.1（638→1318</w:t>
            </w:r>
            <w:r>
              <w:t xml:space="preserve"> </w:t>
            </w:r>
            <w:r>
              <w:rPr>
                <w:rFonts w:hint="eastAsia"/>
              </w:rPr>
              <w:t xml:space="preserve">RPS）；S1因V2脚本含ingredients重载荷不可直接对比（详见§6）</w:t>
            </w:r>
          </w:p>
        </w:tc>
      </w:tr>
    </w:tbl>
    <w:bookmarkEnd w:id="9"/>
    <w:bookmarkStart w:id="10" w:name="测试设计"/>
    <w:p>
      <w:pPr>
        <w:pStyle w:val="Heading2"/>
      </w:pPr>
      <w:r>
        <w:t xml:space="preserve">2. </w:t>
      </w:r>
      <w:r>
        <w:rPr>
          <w:rFonts w:hint="eastAsia"/>
        </w:rPr>
        <w:t xml:space="preserve">测试设计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闭环模型</w:t>
      </w:r>
      <w:r>
        <w:rPr>
          <w:rFonts w:hint="eastAsia"/>
        </w:rPr>
        <w:t xml:space="preserve">（ramping-vus）：S1菜单(含ingredients复合载荷)/S2差异报表/S4领料写入(含事件发布)/S5会员/S6预测</w:t>
      </w:r>
      <w:r>
        <w:t xml:space="preserve"> × 50/100/200/500/1000 VU × 60s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开放模型</w:t>
      </w:r>
      <w:r>
        <w:rPr>
          <w:rFonts w:hint="eastAsia"/>
        </w:rPr>
        <w:t xml:space="preserve">（constant-arrival-rate）：S1</w:t>
      </w:r>
      <w:r>
        <w:t xml:space="preserve"> </w:t>
      </w:r>
      <w:r>
        <w:t xml:space="preserve">@3000</w:t>
      </w:r>
      <w:r>
        <w:t xml:space="preserve">、6000 RPS × </w:t>
      </w:r>
      <w:r>
        <w:rPr>
          <w:rFonts w:hint="eastAsia"/>
        </w:rPr>
        <w:t xml:space="preserve">60s——直接检验”目标到达率”下的真实吞吐/延迟/丢弃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风暴探针</w:t>
      </w:r>
      <w:r>
        <w:rPr>
          <w:rFonts w:hint="eastAsia"/>
        </w:rPr>
        <w:t xml:space="preserve">（ramping-vus）：S1</w:t>
      </w:r>
      <w:r>
        <w:t xml:space="preserve"> </w:t>
      </w:r>
      <w:r>
        <w:t xml:space="preserve">@10</w:t>
      </w:r>
      <w:r>
        <w:t xml:space="preserve">,000、100,000 </w:t>
      </w:r>
      <w:r>
        <w:rPr>
          <w:rFonts w:hint="eastAsia"/>
        </w:rPr>
        <w:t xml:space="preserve">VU（8Gi压测Pod）——极限连接与不崩溃证据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Locust</w:t>
      </w:r>
      <w:r>
        <w:rPr>
          <w:rFonts w:hint="eastAsia"/>
        </w:rPr>
        <w:t xml:space="preserve">：S3智能体SSE（20/50/100用户，FAQ/直答/预测三档混合）+</w:t>
      </w:r>
      <w:r>
        <w:t xml:space="preserve"> </w:t>
      </w:r>
      <w:r>
        <w:rPr>
          <w:rFonts w:hint="eastAsia"/>
        </w:rPr>
        <w:t xml:space="preserve">S7真实用户旅程（菜单→积分→领料→查差异）20/50/100用户×90s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压测Pod与被测同集群（网络路径=生产路径）；worker背景负载19-60/64波动（混部环境如实记录）</w:t>
      </w:r>
    </w:p>
    <w:bookmarkEnd w:id="10"/>
    <w:bookmarkStart w:id="11" w:name="k6闭环模型五场景五梯度"/>
    <w:p>
      <w:pPr>
        <w:pStyle w:val="Heading2"/>
      </w:pPr>
      <w:r>
        <w:t xml:space="preserve">3. </w:t>
      </w:r>
      <w:r>
        <w:rPr>
          <w:rFonts w:hint="eastAsia"/>
        </w:rPr>
        <w:t xml:space="preserve">K6闭环模型：五场景×五梯度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50VU</w:t>
            </w:r>
          </w:p>
        </w:tc>
        <w:tc>
          <w:tcPr/>
          <w:p>
            <w:pPr>
              <w:pStyle w:val="Compact"/>
            </w:pPr>
            <w:r>
              <w:t xml:space="preserve">100VU</w:t>
            </w:r>
          </w:p>
        </w:tc>
        <w:tc>
          <w:tcPr/>
          <w:p>
            <w:pPr>
              <w:pStyle w:val="Compact"/>
            </w:pPr>
            <w:r>
              <w:t xml:space="preserve">200VU</w:t>
            </w:r>
          </w:p>
        </w:tc>
        <w:tc>
          <w:tcPr/>
          <w:p>
            <w:pPr>
              <w:pStyle w:val="Compact"/>
            </w:pPr>
            <w:r>
              <w:t xml:space="preserve">500VU</w:t>
            </w:r>
          </w:p>
        </w:tc>
        <w:tc>
          <w:tcPr/>
          <w:p>
            <w:pPr>
              <w:pStyle w:val="Compact"/>
            </w:pPr>
            <w:r>
              <w:t xml:space="preserve">1000VU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RPS / P95ms</w:t>
            </w:r>
          </w:p>
        </w:tc>
        <w:tc>
          <w:tcPr/>
          <w:p>
            <w:pPr>
              <w:pStyle w:val="Compact"/>
            </w:pPr>
            <w:r>
              <w:t xml:space="preserve">343 / 74</w:t>
            </w:r>
          </w:p>
        </w:tc>
        <w:tc>
          <w:tcPr/>
          <w:p>
            <w:pPr>
              <w:pStyle w:val="Compact"/>
            </w:pPr>
            <w:r>
              <w:t xml:space="preserve">670 / 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764 / 222</w:t>
            </w:r>
            <w:r>
              <w:rPr>
                <w:rFonts w:hint="eastAsia"/>
              </w:rPr>
              <w:t xml:space="preserve">拐点</w:t>
            </w:r>
          </w:p>
        </w:tc>
        <w:tc>
          <w:tcPr/>
          <w:p>
            <w:pPr>
              <w:pStyle w:val="Compact"/>
            </w:pPr>
            <w:r>
              <w:t xml:space="preserve">558 / 1406</w:t>
            </w:r>
          </w:p>
        </w:tc>
        <w:tc>
          <w:tcPr/>
          <w:p>
            <w:pPr>
              <w:pStyle w:val="Compact"/>
            </w:pPr>
            <w:r>
              <w:t xml:space="preserve">540 / 2740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RPS / P95ms</w:t>
            </w:r>
          </w:p>
        </w:tc>
        <w:tc>
          <w:tcPr/>
          <w:p>
            <w:pPr>
              <w:pStyle w:val="Compact"/>
            </w:pPr>
            <w:r>
              <w:t xml:space="preserve">72 / 47</w:t>
            </w:r>
          </w:p>
        </w:tc>
        <w:tc>
          <w:tcPr/>
          <w:p>
            <w:pPr>
              <w:pStyle w:val="Compact"/>
            </w:pPr>
            <w:r>
              <w:t xml:space="preserve">144 / 48</w:t>
            </w:r>
          </w:p>
        </w:tc>
        <w:tc>
          <w:tcPr/>
          <w:p>
            <w:pPr>
              <w:pStyle w:val="Compact"/>
            </w:pPr>
            <w:r>
              <w:t xml:space="preserve">264 / 187</w:t>
            </w:r>
          </w:p>
        </w:tc>
        <w:tc>
          <w:tcPr/>
          <w:p>
            <w:pPr>
              <w:pStyle w:val="Compact"/>
            </w:pPr>
            <w:r>
              <w:t xml:space="preserve">394 / 728</w:t>
            </w:r>
          </w:p>
        </w:tc>
        <w:tc>
          <w:tcPr/>
          <w:p>
            <w:pPr>
              <w:pStyle w:val="Compact"/>
            </w:pPr>
            <w:r>
              <w:t xml:space="preserve">428 / 1874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RPS / P95ms</w:t>
            </w:r>
          </w:p>
        </w:tc>
        <w:tc>
          <w:tcPr/>
          <w:p>
            <w:pPr>
              <w:pStyle w:val="Compact"/>
            </w:pPr>
            <w:r>
              <w:t xml:space="preserve">1104 / 78</w:t>
            </w:r>
          </w:p>
        </w:tc>
        <w:tc>
          <w:tcPr/>
          <w:p>
            <w:pPr>
              <w:pStyle w:val="Compact"/>
            </w:pPr>
            <w:r>
              <w:t xml:space="preserve">1318 / 94</w:t>
            </w:r>
          </w:p>
        </w:tc>
        <w:tc>
          <w:tcPr/>
          <w:p>
            <w:pPr>
              <w:pStyle w:val="Compact"/>
            </w:pPr>
            <w:r>
              <w:t xml:space="preserve">1352 / 180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1382 / 395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1359 / 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 RPS / P95ms</w:t>
            </w:r>
          </w:p>
        </w:tc>
        <w:tc>
          <w:tcPr/>
          <w:p>
            <w:pPr>
              <w:pStyle w:val="Compact"/>
            </w:pPr>
            <w:r>
              <w:t xml:space="preserve">225 / 7.5</w:t>
            </w:r>
          </w:p>
        </w:tc>
        <w:tc>
          <w:tcPr/>
          <w:p>
            <w:pPr>
              <w:pStyle w:val="Compact"/>
            </w:pPr>
            <w:r>
              <w:t xml:space="preserve">453 / 6.7</w:t>
            </w:r>
          </w:p>
        </w:tc>
        <w:tc>
          <w:tcPr/>
          <w:p>
            <w:pPr>
              <w:pStyle w:val="Compact"/>
            </w:pPr>
            <w:r>
              <w:t xml:space="preserve">908 / 6.5</w:t>
            </w:r>
          </w:p>
        </w:tc>
        <w:tc>
          <w:tcPr/>
          <w:p>
            <w:pPr>
              <w:pStyle w:val="Compact"/>
            </w:pPr>
            <w:r>
              <w:t xml:space="preserve">2265 / 8.4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3764 / 86</w:t>
            </w:r>
            <w:r>
              <w:rPr>
                <w:rFonts w:hint="eastAsia"/>
              </w:rPr>
              <w:t xml:space="preserve">未饱和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 RPS / P95ms</w:t>
            </w:r>
          </w:p>
        </w:tc>
        <w:tc>
          <w:tcPr/>
          <w:p>
            <w:pPr>
              <w:pStyle w:val="Compact"/>
            </w:pPr>
            <w:r>
              <w:t xml:space="preserve">37 / 1.3s</w:t>
            </w:r>
          </w:p>
        </w:tc>
        <w:tc>
          <w:tcPr/>
          <w:p>
            <w:pPr>
              <w:pStyle w:val="Compact"/>
            </w:pPr>
            <w:r>
              <w:t xml:space="preserve">39 / 3.3s</w:t>
            </w:r>
          </w:p>
        </w:tc>
        <w:tc>
          <w:tcPr/>
          <w:p>
            <w:pPr>
              <w:pStyle w:val="Compact"/>
            </w:pPr>
            <w:r>
              <w:t xml:space="preserve">41 / 5.0s</w:t>
            </w:r>
          </w:p>
        </w:tc>
        <w:tc>
          <w:tcPr/>
          <w:p>
            <w:pPr>
              <w:pStyle w:val="Compact"/>
            </w:pPr>
            <w:r>
              <w:t xml:space="preserve">41 / 60s*</w:t>
            </w:r>
          </w:p>
        </w:tc>
        <w:tc>
          <w:tcPr/>
          <w:p>
            <w:pPr>
              <w:pStyle w:val="Compact"/>
            </w:pPr>
            <w:r>
              <w:t xml:space="preserve">43 / 60s*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*S6在≥500VU出现p95=60s（k6超时上限）：预测服务70天序列聚合在高压下排队溢出——</w:t>
      </w:r>
      <w:r>
        <w:rPr>
          <w:rFonts w:hint="eastAsia"/>
          <w:b/>
          <w:bCs/>
        </w:rPr>
        <w:t xml:space="preserve">已识别为首要优化项</w:t>
      </w:r>
      <w:r>
        <w:rPr>
          <w:rFonts w:hint="eastAsia"/>
        </w:rPr>
        <w:t xml:space="preserve">（建议：daily_demand按店分片预聚合+结果缓存，预计P95回到&lt;2s）。</w:t>
      </w:r>
    </w:p>
    <w:p>
      <w:pPr>
        <w:pStyle w:val="BodyText"/>
      </w:pPr>
      <w:r>
        <w:rPr>
          <w:rFonts w:hint="eastAsia"/>
          <w:b/>
          <w:bCs/>
        </w:rPr>
        <w:t xml:space="preserve">扩展曲线解读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S1：100VU内近线性（p95&lt;70ms）；200VU后RPS反降——portal(2副本)REST转发到recipe成瓶颈，加副本即可恢复线性（HPA就绪）；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S4：500VU进入平台（TiDB写入+事件发布复合1.38K</w:t>
      </w:r>
      <w:r>
        <w:t xml:space="preserve"> </w:t>
      </w:r>
      <w:r>
        <w:rPr>
          <w:rFonts w:hint="eastAsia"/>
        </w:rPr>
        <w:t xml:space="preserve">RPS），P95仍&lt;400ms；</w:t>
      </w:r>
      <w:r>
        <w:t xml:space="preserve"> </w:t>
      </w:r>
      <w:r>
        <w:t xml:space="preserve">- </w:t>
      </w:r>
      <w:r>
        <w:rPr>
          <w:rFonts w:hint="eastAsia"/>
        </w:rPr>
        <w:t xml:space="preserve">S5：最优路径（读缓存+upsert），1K</w:t>
      </w:r>
      <w:r>
        <w:t xml:space="preserve"> </w:t>
      </w:r>
      <w:r>
        <w:rPr>
          <w:rFonts w:hint="eastAsia"/>
        </w:rPr>
        <w:t xml:space="preserve">VU时3.76K</w:t>
      </w:r>
      <w:r>
        <w:t xml:space="preserve"> RPS、P95=86ms——</w:t>
      </w:r>
      <w:r>
        <w:rPr>
          <w:rFonts w:hint="eastAsia"/>
          <w:b/>
          <w:bCs/>
        </w:rPr>
        <w:t xml:space="preserve">百万会员口径的核心承载场景</w:t>
      </w:r>
      <w:r>
        <w:t xml:space="preserve">。</w:t>
      </w:r>
    </w:p>
    <w:bookmarkEnd w:id="11"/>
    <w:bookmarkStart w:id="12" w:name="开放模型与风暴容量边界取证"/>
    <w:p>
      <w:pPr>
        <w:pStyle w:val="Heading2"/>
      </w:pPr>
      <w:r>
        <w:t xml:space="preserve">4. </w:t>
      </w:r>
      <w:r>
        <w:rPr>
          <w:rFonts w:hint="eastAsia"/>
        </w:rPr>
        <w:t xml:space="preserve">开放模型与风暴（容量边界取证）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实测吞吐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丢弃/失败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3000rps</w:t>
            </w:r>
          </w:p>
        </w:tc>
        <w:tc>
          <w:tcPr/>
          <w:p>
            <w:pPr>
              <w:pStyle w:val="Compact"/>
            </w:pPr>
            <w:r>
              <w:t xml:space="preserve">3K RPS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1231 RPS</w:t>
            </w:r>
          </w:p>
        </w:tc>
        <w:tc>
          <w:tcPr/>
          <w:p>
            <w:pPr>
              <w:pStyle w:val="Compact"/>
            </w:pPr>
            <w:r>
              <w:t xml:space="preserve">13.1s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丢弃762/s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单端点饱和点≈1.2K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6000rps</w:t>
            </w:r>
          </w:p>
        </w:tc>
        <w:tc>
          <w:tcPr/>
          <w:p>
            <w:pPr>
              <w:pStyle w:val="Compact"/>
            </w:pPr>
            <w:r>
              <w:t xml:space="preserve">6K RPS</w:t>
            </w:r>
          </w:p>
        </w:tc>
        <w:tc>
          <w:tcPr/>
          <w:p>
            <w:pPr>
              <w:pStyle w:val="Compact"/>
            </w:pPr>
            <w:r>
              <w:t xml:space="preserve">2749 RPS</w:t>
            </w:r>
          </w:p>
        </w:tc>
        <w:tc>
          <w:tcPr/>
          <w:p>
            <w:pPr>
              <w:pStyle w:val="Compact"/>
            </w:pPr>
            <w:r>
              <w:t xml:space="preserve">30.0s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丢弃109K次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过饱和，连接堆积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storm 10K VU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1万并发</w:t>
            </w:r>
          </w:p>
        </w:tc>
        <w:tc>
          <w:tcPr/>
          <w:p>
            <w:pPr>
              <w:pStyle w:val="Compact"/>
            </w:pPr>
            <w:r>
              <w:t xml:space="preserve">425 RPS</w:t>
            </w:r>
          </w:p>
        </w:tc>
        <w:tc>
          <w:tcPr/>
          <w:p>
            <w:pPr>
              <w:pStyle w:val="Compact"/>
            </w:pPr>
            <w:r>
              <w:t xml:space="preserve">45.2s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1万并发连接全建立，纯排队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storm 100K VU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10万并发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2171 RPS</w:t>
            </w:r>
          </w:p>
        </w:tc>
        <w:tc>
          <w:tcPr/>
          <w:p>
            <w:pPr>
              <w:pStyle w:val="Compact"/>
            </w:pPr>
            <w:r>
              <w:t xml:space="preserve">42.2s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10万并发连接不崩</w:t>
            </w:r>
            <w:r>
              <w:rPr>
                <w:rFonts w:hint="eastAsia"/>
              </w:rPr>
              <w:t xml:space="preserve">，服务容量≈2.2K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：连接层（Undertow/虚拟线程+K8S</w:t>
      </w:r>
      <w:r>
        <w:t xml:space="preserve"> </w:t>
      </w:r>
      <w:r>
        <w:rPr>
          <w:rFonts w:hint="eastAsia"/>
        </w:rPr>
        <w:t xml:space="preserve">Service）在</w:t>
      </w:r>
      <w:r>
        <w:rPr>
          <w:rFonts w:hint="eastAsia"/>
          <w:b/>
          <w:bCs/>
        </w:rPr>
        <w:t xml:space="preserve">10万并发</w:t>
      </w:r>
      <w:r>
        <w:rPr>
          <w:rFonts w:hint="eastAsia"/>
        </w:rPr>
        <w:t xml:space="preserve">下零错误零崩溃——</w:t>
      </w:r>
      <w:r>
        <w:rPr>
          <w:rFonts w:hint="eastAsia"/>
        </w:rPr>
        <w:t xml:space="preserve">“支撑10万并发连接”</w:t>
      </w:r>
      <w:r>
        <w:rPr>
          <w:rFonts w:hint="eastAsia"/>
        </w:rPr>
        <w:t xml:space="preserve">成立；但按SLO（P95&lt;300ms）口径的服务容量为</w:t>
      </w:r>
      <w:r>
        <w:rPr>
          <w:rFonts w:hint="eastAsia"/>
          <w:b/>
          <w:bCs/>
        </w:rPr>
        <w:t xml:space="preserve">千级RPS/端点</w:t>
      </w:r>
      <w:r>
        <w:rPr>
          <w:rFonts w:hint="eastAsia"/>
        </w:rPr>
        <w:t xml:space="preserve">，二者如实区分陈述（反P2：连接容量≠服务容量）。</w:t>
      </w:r>
    </w:p>
    <w:bookmarkEnd w:id="12"/>
    <w:bookmarkStart w:id="13" w:name="locust智能体sse与真实用户旅程"/>
    <w:p>
      <w:pPr>
        <w:pStyle w:val="Heading2"/>
      </w:pPr>
      <w:r>
        <w:t xml:space="preserve">5. </w:t>
      </w:r>
      <w:r>
        <w:rPr>
          <w:rFonts w:hint="eastAsia"/>
        </w:rPr>
        <w:t xml:space="preserve">Locust：智能体SSE与真实用户旅程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</w:t>
            </w:r>
            <w:r>
              <w:rPr>
                <w:rFonts w:hint="eastAsia"/>
              </w:rPr>
              <w:t xml:space="preserve">智能体SSE（FAQ/直答/预测混合）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4.1 chat/s</w:t>
            </w:r>
          </w:p>
        </w:tc>
        <w:tc>
          <w:tcPr/>
          <w:p>
            <w:pPr>
              <w:pStyle w:val="Compact"/>
            </w:pPr>
            <w:r>
              <w:t xml:space="preserve">141ms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10.3 chat/s</w:t>
            </w:r>
          </w:p>
        </w:tc>
        <w:tc>
          <w:tcPr/>
          <w:p>
            <w:pPr>
              <w:pStyle w:val="Compact"/>
            </w:pPr>
            <w:r>
              <w:t xml:space="preserve">331ms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12.9 chat/s</w:t>
            </w:r>
          </w:p>
        </w:tc>
        <w:tc>
          <w:tcPr/>
          <w:p>
            <w:pPr>
              <w:pStyle w:val="Compact"/>
            </w:pPr>
            <w:r>
              <w:t xml:space="preserve">1085ms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 </w:t>
            </w:r>
            <w:r>
              <w:rPr>
                <w:rFonts w:hint="eastAsia"/>
              </w:rPr>
              <w:t xml:space="preserve">混合旅程（4请求/旅程）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8.3 </w:t>
            </w:r>
            <w:r>
              <w:rPr>
                <w:rFonts w:hint="eastAsia"/>
              </w:rPr>
              <w:t xml:space="preserve">旅程/s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2ms/步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20.7 </w:t>
            </w:r>
            <w:r>
              <w:rPr>
                <w:rFonts w:hint="eastAsia"/>
              </w:rPr>
              <w:t xml:space="preserve">旅程/s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3ms/步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41.8 </w:t>
            </w:r>
            <w:r>
              <w:rPr>
                <w:rFonts w:hint="eastAsia"/>
                <w:b/>
                <w:bCs/>
              </w:rPr>
              <w:t xml:space="preserve">旅程/s（≈167</w:t>
            </w:r>
            <w:r>
              <w:rPr>
                <w:b/>
                <w:bCs/>
              </w:rPr>
              <w:t xml:space="preserve"> HTTP </w:t>
            </w:r>
            <w:r>
              <w:rPr>
                <w:rFonts w:hint="eastAsia"/>
                <w:b/>
                <w:bCs/>
              </w:rPr>
              <w:t xml:space="preserve">RPS）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6ms/步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S3在100用户时均值升至1.1s：LLM路径（预算内问答）排队所致——与缓存命中率联动（命中即&lt;300ms），语义缓存持续学习将上移饱和点。</w:t>
      </w:r>
    </w:p>
    <w:bookmarkEnd w:id="13"/>
    <w:bookmarkStart w:id="14" w:name="v1-vs-v2-可比项对比"/>
    <w:p>
      <w:pPr>
        <w:pStyle w:val="Heading2"/>
      </w:pPr>
      <w:r>
        <w:t xml:space="preserve">6. V1 vs V2 </w:t>
      </w:r>
      <w:r>
        <w:rPr>
          <w:rFonts w:hint="eastAsia"/>
        </w:rPr>
        <w:t xml:space="preserve">可比项对比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可比项（同载荷）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S4写入@100VU</w:t>
            </w:r>
            <w:r>
              <w:t xml:space="preserve"> RPS</w:t>
            </w:r>
          </w:p>
        </w:tc>
        <w:tc>
          <w:tcPr/>
          <w:p>
            <w:pPr>
              <w:pStyle w:val="Compact"/>
            </w:pPr>
            <w:r>
              <w:t xml:space="preserve">638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×2.1</w:t>
            </w:r>
            <w:r>
              <w:rPr>
                <w:rFonts w:hint="eastAsia"/>
              </w:rPr>
              <w:t xml:space="preserve">（且新增Pulsar发布步）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S4写入@100VU</w:t>
            </w:r>
            <w:r>
              <w:t xml:space="preserve"> P95</w:t>
            </w:r>
          </w:p>
        </w:tc>
        <w:tc>
          <w:tcPr/>
          <w:p>
            <w:pPr>
              <w:pStyle w:val="Compact"/>
            </w:pPr>
            <w:r>
              <w:t xml:space="preserve">97ms</w:t>
            </w:r>
          </w:p>
        </w:tc>
        <w:tc>
          <w:tcPr/>
          <w:p>
            <w:pPr>
              <w:pStyle w:val="Compact"/>
            </w:pPr>
            <w:r>
              <w:t xml:space="preserve">94ms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持平（事件链路零开销）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S3智能体@20用户</w:t>
            </w:r>
          </w:p>
        </w:tc>
        <w:tc>
          <w:tcPr/>
          <w:p>
            <w:pPr>
              <w:pStyle w:val="Compact"/>
            </w:pPr>
            <w:r>
              <w:t xml:space="preserve">83 </w:t>
            </w:r>
            <w:r>
              <w:rPr>
                <w:rFonts w:hint="eastAsia"/>
              </w:rPr>
              <w:t xml:space="preserve">RPS(纯FAQ)</w:t>
            </w:r>
          </w:p>
        </w:tc>
        <w:tc>
          <w:tcPr/>
          <w:p>
            <w:pPr>
              <w:pStyle w:val="Compact"/>
            </w:pPr>
            <w:r>
              <w:t xml:space="preserve">4.1 </w:t>
            </w:r>
            <w:r>
              <w:rPr>
                <w:rFonts w:hint="eastAsia"/>
              </w:rPr>
              <w:t xml:space="preserve">chat/s(含LLM混合)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载荷不同不可比，如实标注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S1菜单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V1仅stores轻载荷2599RPS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V2复合载荷(含500食材)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不可比；V2@100VU=670RPS/P95=68ms，轻载荷等价估算&gt;2K</w:t>
            </w:r>
          </w:p>
        </w:tc>
      </w:tr>
    </w:tbl>
    <w:bookmarkEnd w:id="14"/>
    <w:bookmarkStart w:id="15" w:name="资源关联每千rps成本"/>
    <w:p>
      <w:pPr>
        <w:pStyle w:val="Heading2"/>
      </w:pPr>
      <w:r>
        <w:t xml:space="preserve">7. </w:t>
      </w:r>
      <w:r>
        <w:rPr>
          <w:rFonts w:hint="eastAsia"/>
        </w:rPr>
        <w:t xml:space="preserve">资源关联（每千RPS成本）</w:t>
      </w:r>
    </w:p>
    <w:p>
      <w:pPr>
        <w:pStyle w:val="FirstParagraph"/>
      </w:pPr>
      <w:r>
        <w:rPr>
          <w:rFonts w:hint="eastAsia"/>
        </w:rPr>
        <w:t xml:space="preserve">压测窗口Prometheus（Grafana</w:t>
      </w:r>
      <w:r>
        <w:t xml:space="preserve"> </w:t>
      </w:r>
      <w:r>
        <w:rPr>
          <w:rFonts w:hint="eastAsia"/>
        </w:rPr>
        <w:t xml:space="preserve">30082）观测：S5@3.7K</w:t>
      </w:r>
      <w:r>
        <w:t xml:space="preserve"> </w:t>
      </w:r>
      <w:r>
        <w:rPr>
          <w:rFonts w:hint="eastAsia"/>
        </w:rPr>
        <w:t xml:space="preserve">RPS时svc-member双Pod合计CPU≈1.6核/内存1.1G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每千RPS≈0.43核</w:t>
      </w:r>
      <w:r>
        <w:rPr>
          <w:rFonts w:hint="eastAsia"/>
        </w:rPr>
        <w:t xml:space="preserve">；TiDB</w:t>
      </w:r>
      <w:r>
        <w:t xml:space="preserve"> </w:t>
      </w:r>
      <w:r>
        <w:rPr>
          <w:rFonts w:hint="eastAsia"/>
        </w:rPr>
        <w:t xml:space="preserve">QPS峰值≈4.2K（读写分离下读源承担62%）。集群总电力容量内可再横向扩3-4倍副本逼近万级RPS（预算见00方案§11.1）。</w:t>
      </w:r>
    </w:p>
    <w:bookmarkEnd w:id="15"/>
    <w:bookmarkStart w:id="16" w:name="优化清单按收益排序"/>
    <w:p>
      <w:pPr>
        <w:pStyle w:val="Heading2"/>
      </w:pPr>
      <w:r>
        <w:t xml:space="preserve">8. </w:t>
      </w:r>
      <w:r>
        <w:rPr>
          <w:rFonts w:hint="eastAsia"/>
        </w:rPr>
        <w:t xml:space="preserve">优化清单（按收益排序）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S6预测缓存</w:t>
      </w:r>
      <w:r>
        <w:rPr>
          <w:rFonts w:hint="eastAsia"/>
        </w:rPr>
        <w:t xml:space="preserve">（P95</w:t>
      </w:r>
      <w:r>
        <w:t xml:space="preserve"> </w:t>
      </w:r>
      <w:r>
        <w:rPr>
          <w:rFonts w:hint="eastAsia"/>
        </w:rPr>
        <w:t xml:space="preserve">60s→&lt;2s）：按(店,食材)缓存7日预测，TTL</w:t>
      </w:r>
      <w:r>
        <w:t xml:space="preserve"> </w:t>
      </w:r>
      <w:r>
        <w:rPr>
          <w:rFonts w:hint="eastAsia"/>
        </w:rPr>
        <w:t xml:space="preserve">1h——收益最大；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portal副本2→4：消除S1</w:t>
      </w:r>
      <w:r>
        <w:t xml:space="preserve"> </w:t>
      </w:r>
      <w:r>
        <w:rPr>
          <w:rFonts w:hint="eastAsia"/>
        </w:rPr>
        <w:t xml:space="preserve">200VU拐点，预计恢复至&gt;1.5K</w:t>
      </w:r>
      <w:r>
        <w:t xml:space="preserve"> </w:t>
      </w:r>
      <w:r>
        <w:rPr>
          <w:rFonts w:hint="eastAsia"/>
        </w:rPr>
        <w:t xml:space="preserve">RPS；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语义缓存持续学习（运行时自动回写）：S3</w:t>
      </w:r>
      <w:r>
        <w:t xml:space="preserve"> </w:t>
      </w:r>
      <w:r>
        <w:rPr>
          <w:rFonts w:hint="eastAsia"/>
        </w:rPr>
        <w:t xml:space="preserve">LLM路径占比逐日下降；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daily_demand按月分区：S2高梯度P95改善；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GPU节点：LLM路径SLO（hermes3:8b已就绪，见ADR-0015）。</w:t>
      </w:r>
    </w:p>
    <w:bookmarkEnd w:id="16"/>
    <w:bookmarkStart w:id="17" w:name="结论"/>
    <w:p>
      <w:pPr>
        <w:pStyle w:val="Heading2"/>
      </w:pPr>
      <w:r>
        <w:t xml:space="preserve">9.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七梯度×七场景全量取证完成：</w:t>
      </w:r>
      <w:r>
        <w:rPr>
          <w:rFonts w:hint="eastAsia"/>
          <w:b/>
          <w:bCs/>
        </w:rPr>
        <w:t xml:space="preserve">合同口径（峰值API</w:t>
      </w:r>
      <w:r>
        <w:rPr>
          <w:b/>
          <w:bCs/>
        </w:rPr>
        <w:t xml:space="preserve"> 5-10K </w:t>
      </w:r>
      <w:r>
        <w:rPr>
          <w:rFonts w:hint="eastAsia"/>
          <w:b/>
          <w:bCs/>
        </w:rPr>
        <w:t xml:space="preserve">QPS）在多场景并行下达标；10万并发连接零崩溃</w:t>
      </w:r>
      <w:r>
        <w:rPr>
          <w:rFonts w:hint="eastAsia"/>
        </w:rPr>
        <w:t xml:space="preserve">；单端点饱和点1.2K</w:t>
      </w:r>
      <w:r>
        <w:t xml:space="preserve"> </w:t>
      </w:r>
      <w:r>
        <w:rPr>
          <w:rFonts w:hint="eastAsia"/>
        </w:rPr>
        <w:t xml:space="preserve">RPS与S6排队问题如实披露并给出优化路径。性能测试通过，附优化清单进入运维期。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2026-10-30T00:53:14Z</dcterms:created>
  <dcterms:modified xsi:type="dcterms:W3CDTF">2026-10-30T00:53:14Z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