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3togaf总体架构与ddd"/>
    <w:p>
      <w:pPr>
        <w:pStyle w:val="Heading1"/>
      </w:pPr>
      <w:r>
        <w:rPr>
          <w:rFonts w:hint="eastAsia"/>
        </w:rPr>
        <w:t xml:space="preserve">教学方案（教案）U03：TOGAF总体架构与DDD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周次：第3周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知识目标：掌握TOGAF四架构域与ADM；DDD限界上下文、CQRS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技能目标：能绘制总体架构图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重点：TOGAF</w:t>
      </w:r>
      <w:r>
        <w:t xml:space="preserve"> </w:t>
      </w:r>
      <w:r>
        <w:rPr>
          <w:rFonts w:hint="eastAsia"/>
        </w:rPr>
        <w:t xml:space="preserve">ADM流程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难点：业务/数据/应用/技术四架构域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TOGAF </w:t>
            </w:r>
            <w:r>
              <w:rPr>
                <w:rFonts w:hint="eastAsia"/>
              </w:rPr>
              <w:t xml:space="preserve">ADM流程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业务/数据/应用/技术四架构域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费曼题：用比喻讲清’为什么分层’（两人互讲+抽3人全班讲）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实训任务：实训：用mermaid绘制本项目总体架构图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【分析】找出本项目2个限界上下文并说明边界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架构图1份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学习平台；命名：学号-姓名-U03。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2026-10-26T13:35:31Z</dcterms:created>
  <dcterms:modified xsi:type="dcterms:W3CDTF">2026-10-26T13:35:31Z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