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4技术栈选型与adr决策"/>
    <w:p>
      <w:pPr>
        <w:pStyle w:val="Heading1"/>
      </w:pPr>
      <w:r>
        <w:rPr>
          <w:rFonts w:hint="eastAsia"/>
        </w:rPr>
        <w:t xml:space="preserve">教学方案（教案）U04：技术栈选型与ADR决策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周次：第4周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知识目标：掌握选型约束分析法与ADR记录法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技能目标：能写1条完整ADR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重点：Java21+SpringBoot3(Undertow弃Tomcat)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难点：Python</w:t>
      </w:r>
      <w:r>
        <w:t xml:space="preserve"> </w:t>
      </w:r>
      <w:r>
        <w:rPr>
          <w:rFonts w:hint="eastAsia"/>
        </w:rPr>
        <w:t xml:space="preserve">Litestar(弃FastAPI/Granian的原因)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Java21+SpringBoot3(Undertow弃Tomcat)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Litestar(弃FastAPI/Granian的原因)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费曼题：解释弃用某个技术栈的原因（两人互讲+抽3人全班讲）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实训任务：实训2：为模块做选型并写1条ADR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【评价】给’自研vs复用’打分并说理由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t xml:space="preserve">ADR </w:t>
      </w:r>
      <w:r>
        <w:rPr>
          <w:rFonts w:hint="eastAsia"/>
        </w:rPr>
        <w:t xml:space="preserve">1条/人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学习平台；命名：学号-姓名-U04。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2026-10-26T13:35:32Z</dcterms:created>
  <dcterms:modified xsi:type="dcterms:W3CDTF">2026-10-26T13:35:32Z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