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05数据架构读写分离与多级缓存"/>
    <w:p>
      <w:pPr>
        <w:pStyle w:val="Heading1"/>
      </w:pPr>
      <w:r>
        <w:rPr>
          <w:rFonts w:hint="eastAsia"/>
        </w:rPr>
        <w:t xml:space="preserve">教学方案（教案）U05：数据架构：读写分离与多级缓存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周次：第5周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知识目标：理解HTAP、读写分离、L0-L4缓存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技能目标：能配置Redis集群与warmup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重点：TiDB</w:t>
      </w:r>
      <w:r>
        <w:t xml:space="preserve"> </w:t>
      </w:r>
      <w:r>
        <w:rPr>
          <w:rFonts w:hint="eastAsia"/>
        </w:rPr>
        <w:t xml:space="preserve">HTAP原理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难点：Caffeine/Redis/Milvus三级缓存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TiDB </w:t>
            </w:r>
            <w:r>
              <w:rPr>
                <w:rFonts w:hint="eastAsia"/>
              </w:rPr>
              <w:t xml:space="preserve">HTAP原理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Caffeine/Redis/Milvus三级缓存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费曼题：讲清三级缓存中数据的流动（两人互讲+抽3人全班讲）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实训任务：实训：配置Redis集群并验证warmup命中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【应用】给’查门店日销’设计缓存层级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warmup验证截图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学习平台；命名：学号-姓名-U05。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2026-10-26T13:35:33Z</dcterms:created>
  <dcterms:modified xsi:type="dcterms:W3CDTF">2026-10-26T13:35:33Z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