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0mcp协议与a2a互操作"/>
    <w:p>
      <w:pPr>
        <w:pStyle w:val="Heading1"/>
      </w:pPr>
      <w:r>
        <w:rPr>
          <w:rFonts w:hint="eastAsia"/>
        </w:rPr>
        <w:t xml:space="preserve">教学方案（教案）U10：MCP协议与A2A互操作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周次：第10周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知识目标：掌握MCP工具协议与A2A智能体协议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技能目标：能注册MCP工具并完成A2A对话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重点：MCP</w:t>
      </w:r>
      <w:r>
        <w:t xml:space="preserve"> Streamable-HTTP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难点：12工具开发与_sanitize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MCP Streamable-HTTP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12工具开发与_sanitize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费曼题：区分MCP与A2A（两人互讲+抽3人全班讲）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实训任务：实训5：注册1个MCP工具+两智能体A2A对话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【评价】MCP工具参数校验为什么必须？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A2A对话截图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学习平台；命名：学号-姓名-U10。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2026-10-26T13:00:44Z</dcterms:created>
  <dcterms:modified xsi:type="dcterms:W3CDTF">2026-10-26T13:00:44Z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