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1课程导入与ai项目死亡复盘"/>
    <w:p>
      <w:pPr>
        <w:pStyle w:val="Heading1"/>
      </w:pPr>
      <w:r>
        <w:rPr>
          <w:rFonts w:hint="eastAsia"/>
        </w:rPr>
        <w:t xml:space="preserve">教学方案（教案）U01：课程导入与AI项目死亡复盘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周次：第1周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知识目标：了解课程定位；理解AI项目失败的反模式P1-P7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技能目标：能复述7大反模式并对应给出防线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重点：课程全景与考核说明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难点：真实复盘案例拆解：签单120万→退款道歉重来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课程全景与考核说明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真实复盘案例拆解：签单120万→退款道歉重来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费曼题：用你的话讲清一个反模式及其防线（两人互讲+抽3人全班讲）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实训任务：实训0：分组诊断复盘案例，输出《反模式诊断表》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【理解】P3’分阶段交付’解决什么信任问题？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每人提交1页诊断表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学习平台；命名：学号-姓名-U01。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2026-10-25T23:47:51Z</dcterms:created>
  <dcterms:modified xsi:type="dcterms:W3CDTF">2026-10-25T23:47:51Z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