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0mcp协议与a2a互操作"/>
    <w:p>
      <w:pPr>
        <w:pStyle w:val="Heading1"/>
      </w:pPr>
      <w:r>
        <w:rPr>
          <w:rFonts w:hint="eastAsia"/>
        </w:rPr>
        <w:t xml:space="preserve">教学方案（教案）U10：MCP协议与A2A互操作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周次：第10周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知识目标：掌握MCP工具协议与A2A智能体协议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技能目标：能注册MCP工具并完成A2A对话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重点：MCP</w:t>
      </w:r>
      <w:r>
        <w:t xml:space="preserve"> Streamable-HTTP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难点：12工具开发与_sanitize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MCP Streamable-HTTP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12工具开发与_sanitize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费曼题：区分MCP与A2A（两人互讲+抽3人全班讲）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实训任务：实训5：注册1个MCP工具+两智能体A2A对话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【评价】MCP工具参数校验为什么必须？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A2A对话截图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学习平台；命名：学号-姓名-U10。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2026-10-25T23:48:03Z</dcterms:created>
  <dcterms:modified xsi:type="dcterms:W3CDTF">2026-10-25T23:48:03Z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