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11事件驱动架构与pulsar"/>
    <w:p>
      <w:pPr>
        <w:pStyle w:val="Heading1"/>
      </w:pPr>
      <w:r>
        <w:rPr>
          <w:rFonts w:hint="eastAsia"/>
        </w:rPr>
        <w:t xml:space="preserve">教学方案（教案）U11：事件驱动架构与Pulsar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周次：第11周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知识目标：掌握领域事件与消息中间件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技能目标：能实现事件预警链路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重点：事件驱动vs接口调用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难点：Pulsar生产者/消费者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事件驱动vs接口调用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Pulsar生产者/消费者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费曼题：解释事件驱动的价值（两人互讲+抽3人全班讲）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实训任务：实训：实现库存预警事件链路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【分析】事件丢失如何兜底？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预警链路演示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学习平台；命名：学号-姓名-U11。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2026-10-25T23:48:05Z</dcterms:created>
  <dcterms:modified xsi:type="dcterms:W3CDTF">2026-10-25T23:48:05Z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