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智能体工程化项目实战</w:t>
      </w:r>
    </w:p>
    <w:p>
      <w:pPr>
        <w:ind w:left="360"/>
      </w:pPr>
      <w:r>
        <w:rPr>
          <w:i/>
          <w:color w:val="4A5158"/>
        </w:rPr>
        <w:t>副标题：从天工具身智能平台到连锁餐饮场景 · 德国双元制本土化课程包 学时：64 课时（16 次课 × 4 课时）｜ 适用：高职高专 人工智能技术应用 / 大数据技术 / 智能装备技术 基线项目：天工 Tiangong-EWA（具身智能工厂作业智能体平台） 版本：v1.0（与天工 v1.2 对齐）｜ 编制：2026-10-26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0. 这门课解决什么问题</w:t>
      </w:r>
    </w:p>
    <w:p>
      <w:r>
        <w:rPr>
          <w:b w:val="0"/>
        </w:rPr>
        <w:t>企业不缺"会调 API 的人"，缺的是</w:t>
      </w:r>
      <w:r>
        <w:rPr>
          <w:b/>
        </w:rPr>
        <w:t>能把智能体做到能上线、能审计、能降级、能被验收</w:t>
      </w:r>
      <w:r>
        <w:rPr>
          <w:b w:val="0"/>
        </w:rPr>
        <w:t>的人。</w:t>
      </w:r>
    </w:p>
    <w:p>
      <w:r>
        <w:rPr>
          <w:b w:val="0"/>
        </w:rPr>
        <w:t>本课程用一套真实工程基线（天工具身智能平台）做"解剖对象"，让学生经历</w:t>
      </w:r>
      <w:r>
        <w:rPr>
          <w:b/>
        </w:rPr>
        <w:t>完整工程闭环</w:t>
      </w:r>
      <w:r>
        <w:rPr>
          <w:b w:val="0"/>
        </w:rPr>
        <w:t>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需求（EARS/SDD） → 领域建模（不变量） → 安全红线（物理世界）</w:t>
        <w:br/>
        <w:t xml:space="preserve">   → 编排闭环（审批/证据/降级） → 数据与性能（1 亿条/预聚合/缓存）</w:t>
        <w:br/>
        <w:t xml:space="preserve">   → 接口与多品牌（REST/MCP/A2A/VDA5050） → 测试（TDD/E2E/压测）</w:t>
        <w:br/>
        <w:t xml:space="preserve">   → 运维（可观测/值班） → 迁移（连锁餐饮）</w:t>
      </w:r>
    </w:p>
    <w:p>
      <w:r>
        <w:rPr>
          <w:b w:val="0"/>
        </w:rPr>
        <w:t>最后 8 课时，学生把同一套方法论</w:t>
      </w:r>
      <w:r>
        <w:rPr>
          <w:b/>
        </w:rPr>
        <w:t>迁移到连锁餐饮场景</w:t>
      </w:r>
      <w:r>
        <w:rPr>
          <w:b w:val="0"/>
        </w:rPr>
        <w:t>（门店巡检、后厨配送、外卖调度）， 证明他们掌握的是"工程能力"而不是"背下来的一个项目"。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课程设计的三根支柱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支柱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做法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落在哪里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德国双元制本土化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学校"学习领域" + 企业"实践任务"双场所；行动导向六步法；企业师傅参与评价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docs/04、docs/08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费曼学习法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每次课末"讲给同伴听"环节 + 费曼检验题；讲不清即未掌握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docs/05、每次课教案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布鲁姆认知模型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 次课按 记忆→理解→应用→分析→评价→创造 递进，目标可测量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docs/01、docs/02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仓库地图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Tiangong-Course/</w:t>
        <w:br/>
        <w:t>├── README.md                          ← 本文件</w:t>
        <w:br/>
        <w:t>├── docs/</w:t>
        <w:br/>
        <w:t>│   ├── 00_课程总览与学习路径.md</w:t>
        <w:br/>
        <w:t>│   ├── 01_课程标准.md                  ← 64 课时、能力矩阵、考核方案</w:t>
        <w:br/>
        <w:t>│   ├── 02_授课计划（64课时）.md         ← 16 次课进度表</w:t>
        <w:br/>
        <w:t>│   ├── 03_教学方案/                    ← S01–S16 每次课的完整教学设计</w:t>
        <w:br/>
        <w:t>│   ├── 04_双元制本土化实施指南.md</w:t>
        <w:br/>
        <w:t>│   ├── 05_费曼学习法与布鲁姆认知模型应用指南.md</w:t>
        <w:br/>
        <w:t>│   ├── 06_评价量规与考核题库.md</w:t>
        <w:br/>
        <w:t>│   ├── 07_实验环境与工具链.md</w:t>
        <w:br/>
        <w:t>│   ├── 08_企业实践任务书.md</w:t>
        <w:br/>
        <w:t>│   ├── 09_学生工作页.md                ← 16 份工作页（Arbeitsblätter）</w:t>
        <w:br/>
        <w:t>│   ├── 10_教师手册.md</w:t>
        <w:br/>
        <w:t>│   ├── 11_课程思政与职业素养.md</w:t>
        <w:br/>
        <w:t>│   ├── 12_资源清单与参考文献.md</w:t>
        <w:br/>
        <w:t>│   └── 13_与天工项目同步机制.md</w:t>
        <w:br/>
        <w:t>├── slides/                            ← 16 个 PPTX（每次课一套）+ 大纲</w:t>
        <w:br/>
        <w:t>├── labs/                              ← 6 个实验指导（可独立实训）</w:t>
        <w:br/>
        <w:t>├── assessment/                        ← 量规、评分表、题库、答辩评分表</w:t>
        <w:br/>
        <w:t>├── upstream/                          ← 天工项目快照（版本/指标/文档索引）</w:t>
        <w:br/>
        <w:t>├── export/docx/  export/pdf/          ← 全部教学文档的 Word / PDF</w:t>
        <w:br/>
        <w:t>└── tools/                             ← 导出脚本、PPT 生成脚本、上游同步脚本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快速开始（教师）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1. 拿到课程包</w:t>
        <w:br/>
        <w:t>git clone &lt;本仓库地址&gt; &amp;&amp; cd Tiangong-Course</w:t>
        <w:br/>
        <w:br/>
        <w:t># 2. 看三份文件就能开课</w:t>
        <w:br/>
        <w:t>docs/01_课程标准.md        # 教什么、怎么考</w:t>
        <w:br/>
        <w:t>docs/02_授课计划（64课时）.md  # 每次课的时间表</w:t>
        <w:br/>
        <w:t>docs/03_教学方案/S01_*.md   # 第一次课的逐分钟教案</w:t>
        <w:br/>
        <w:br/>
        <w:t># 3. 打开 PPT</w:t>
        <w:br/>
        <w:t>slides/S01_课程导入与双元制契约.pptx</w:t>
        <w:br/>
        <w:br/>
        <w:t># 4. 发给学生（Word/PDF）</w:t>
        <w:br/>
        <w:t>export/docx/  export/pdf/</w:t>
      </w:r>
    </w:p>
    <w:p>
      <w:pPr>
        <w:pStyle w:val="Heading2"/>
      </w:pPr>
      <w:r>
        <w:t>4. 快速开始（学生）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1. 环境（详见 docs/07）</w:t>
        <w:br/>
        <w:t>git clone https://github.com/tianqiongenze/tiangong-ewa.git</w:t>
        <w:br/>
        <w:t>cd tiangong-ewa &amp;&amp; python -m venv .venv</w:t>
        <w:br/>
        <w:t>.venv/Scripts/python.exe -m pip install -r impl/services/agent-runtime/requirements.txt</w:t>
        <w:br/>
        <w:br/>
        <w:t># 2. 跑通基线（第一次课作业）</w:t>
        <w:br/>
        <w:t>cd impl &amp;&amp; python -m pytest -q          # 120 项通过</w:t>
        <w:br/>
        <w:t>python tools/demo_run.py                # 下单→分解→审批→执行→证据</w:t>
        <w:br/>
        <w:br/>
        <w:t># 3. 起服务，打开看板</w:t>
        <w:br/>
        <w:t>python -m granian --interface asgi app.server:app --port 8000</w:t>
        <w:br/>
        <w:t># 浏览器 http://localhost:8000/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课程与工程基线的对应关系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课程模块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天工工程锚点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学生要能做的事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需求与规范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specs/constitution.md、specs/001-*/spec.md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写出一份 EARS 需求 + 验收标准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领域建模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impl/packages/tiangong_core/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说出 4 条不变量并写测试守住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安全红线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core/safety.py、docs/07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解释 R1–R5，并构造一个被拦截的用例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编排闭环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app/orchestrator.py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画出一次作业单的完整时序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数据与性能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app/analytics.py、tools/build_rollup.py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解释"为什么索引不够，必须预聚合"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接口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app/server.py、app/mcp.py、app/a2a.py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用三种协议各调通一次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tests/（120 + 13）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给新功能补一个会失败的测试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运维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docs/38、docs/44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 Runbook 处置一次故障注入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迁移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连锁餐饮场景（自建）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把五条红线改写成餐饮版并实现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版本与同步</w:t>
      </w:r>
    </w:p>
    <w:p>
      <w:r>
        <w:rPr>
          <w:b w:val="0"/>
        </w:rPr>
        <w:t>本课程包与天工项目</w:t>
      </w:r>
      <w:r>
        <w:rPr>
          <w:b/>
        </w:rPr>
        <w:t>同源同步</w:t>
      </w:r>
      <w:r>
        <w:rPr>
          <w:b w:val="0"/>
        </w:rPr>
        <w:t>：天工发布新版本时，执行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python tools/sync_upstream.py --tiangong ../Tiangong-EWA</w:t>
      </w:r>
    </w:p>
    <w:p>
      <w:r>
        <w:rPr>
          <w:b w:val="0"/>
        </w:rPr>
        <w:t xml:space="preserve">脚本会刷新 </w:t>
      </w:r>
      <w:r>
        <w:rPr>
          <w:rFonts w:ascii="Consolas" w:hAnsi="Consolas"/>
          <w:b w:val="0"/>
          <w:color w:val="0B4F75"/>
          <w:sz w:val="19"/>
        </w:rPr>
        <w:t>upstream/</w:t>
      </w:r>
      <w:r>
        <w:rPr>
          <w:b w:val="0"/>
        </w:rPr>
        <w:t xml:space="preserve"> 快照（版本、测试数、覆盖率、性能指标、文档索引）， 并把变化写进 </w:t>
      </w:r>
      <w:r>
        <w:rPr>
          <w:rFonts w:ascii="Consolas" w:hAnsi="Consolas"/>
          <w:b w:val="0"/>
          <w:color w:val="0B4F75"/>
          <w:sz w:val="19"/>
        </w:rPr>
        <w:t>docs/13_与天工项目同步机制.md</w:t>
      </w:r>
      <w:r>
        <w:rPr>
          <w:b w:val="0"/>
        </w:rPr>
        <w:t xml:space="preserve"> 的同步记录表。机制说明见 </w:t>
      </w:r>
      <w:r>
        <w:rPr>
          <w:rFonts w:ascii="Consolas" w:hAnsi="Consolas"/>
          <w:b w:val="0"/>
          <w:color w:val="0B4F75"/>
          <w:sz w:val="19"/>
        </w:rPr>
        <w:t>docs/13</w:t>
      </w:r>
      <w:r>
        <w:rPr>
          <w:b w:val="0"/>
        </w:rPr>
        <w:t>。</w:t>
      </w:r>
    </w:p>
    <w:p>
      <w:r>
        <w:rPr>
          <w:b w:val="0"/>
        </w:rPr>
        <w:t>当前基线：</w:t>
      </w:r>
      <w:r>
        <w:rPr>
          <w:b/>
        </w:rPr>
        <w:t>天工 v1.2 · 120 项单元/接口 + 13 项 E2E · 覆盖率 93% · 1 亿条数据 / P95 1.53 ms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许可与使用</w:t>
      </w:r>
    </w:p>
    <w:p>
      <w:pPr>
        <w:pStyle w:val="ListBullet"/>
        <w:ind w:left="360"/>
      </w:pPr>
      <w:r>
        <w:rPr>
          <w:b w:val="0"/>
        </w:rPr>
        <w:t>课程文档（</w:t>
      </w:r>
      <w:r>
        <w:rPr>
          <w:rFonts w:ascii="Consolas" w:hAnsi="Consolas"/>
          <w:b w:val="0"/>
          <w:sz w:val="19"/>
        </w:rPr>
        <w:t>docs/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slides/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labs/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assessment/</w:t>
      </w:r>
      <w:r>
        <w:rPr>
          <w:b w:val="0"/>
        </w:rPr>
        <w:t xml:space="preserve">）：建议 </w:t>
      </w:r>
      <w:r>
        <w:rPr>
          <w:b/>
        </w:rPr>
        <w:t>CC BY-NC-SA 4.0</w:t>
      </w:r>
      <w:r>
        <w:rPr>
          <w:b w:val="0"/>
        </w:rPr>
        <w:t>（教学可用、署名、非商业、相同方式共享）</w:t>
      </w:r>
    </w:p>
    <w:p>
      <w:pPr>
        <w:pStyle w:val="ListBullet"/>
        <w:ind w:left="360"/>
      </w:pPr>
      <w:r>
        <w:rPr>
          <w:b w:val="0"/>
        </w:rPr>
        <w:t>代码与工程基线：随天工项目（MIT）</w:t>
      </w:r>
    </w:p>
    <w:p>
      <w:pPr>
        <w:pStyle w:val="ListBullet"/>
        <w:ind w:left="360"/>
      </w:pPr>
      <w:r>
        <w:rPr>
          <w:b w:val="0"/>
        </w:rPr>
        <w:t>企业真实数据不得进入课堂；课程统一使用</w:t>
      </w:r>
      <w:r>
        <w:rPr>
          <w:b/>
        </w:rPr>
        <w:t>脱敏合成数据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