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· 双元制本土化实施指南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德国双元制（Duales System）· KMK《学习领域框架》· 中国高职"产教融合"政策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适用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本课程 64 课时的教学组织与企业协同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核心主张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保留双元制的"双场所 + 行动导向 + 企业评价"，替换掉中国不成立的假设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德国双元制的四个内核（先讲清"搬什么"）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内核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德国做法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为什么有效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双场所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 3–4 天 + 学校 1–2 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真实任务驱动，知识"用得上"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双主体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企业师傅（Ausbilder）+ 学校教师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两种权威，两种评价视角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行动导向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完整工作过程（信息→计划→决策→实施→检查→评价）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学的是"做事的方法"而非"知识点"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标准化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全国统一《培训条例》（Ausbildungsordnung）+ 考试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质量可控、可迁移</w:t>
            </w:r>
          </w:p>
        </w:tc>
      </w:tr>
    </w:tbl>
    <w:p>
      <w:r>
        <w:rPr>
          <w:b/>
        </w:rPr>
        <w:t>不能照搬的部分</w:t>
      </w:r>
      <w:r>
        <w:rPr>
          <w:b w:val="0"/>
        </w:rPr>
        <w:t>：</w:t>
      </w:r>
    </w:p>
    <w:p>
      <w:pPr>
        <w:pStyle w:val="ListNumber"/>
        <w:ind w:left="360"/>
      </w:pPr>
      <w:r>
        <w:rPr>
          <w:b w:val="0"/>
        </w:rPr>
        <w:t>德国企业有</w:t>
      </w:r>
      <w:r>
        <w:rPr>
          <w:b/>
        </w:rPr>
        <w:t>法定义务</w:t>
      </w:r>
      <w:r>
        <w:rPr>
          <w:b w:val="0"/>
        </w:rPr>
        <w:t>和</w:t>
      </w:r>
      <w:r>
        <w:rPr>
          <w:b/>
        </w:rPr>
        <w:t>师傅资质认证</w:t>
      </w:r>
      <w:r>
        <w:rPr>
          <w:b w:val="0"/>
        </w:rPr>
        <w:t>，中国企业参与深度差异极大；</w:t>
      </w:r>
    </w:p>
    <w:p>
      <w:pPr>
        <w:pStyle w:val="ListNumber"/>
        <w:ind w:left="360"/>
      </w:pPr>
      <w:r>
        <w:rPr>
          <w:b w:val="0"/>
        </w:rPr>
        <w:t>德国学制 3–3.5 年、企业为主，中国高职 3 年、学校为主；</w:t>
      </w:r>
    </w:p>
    <w:p>
      <w:pPr>
        <w:pStyle w:val="ListNumber"/>
        <w:ind w:left="360"/>
      </w:pPr>
      <w:r>
        <w:rPr>
          <w:b w:val="0"/>
        </w:rPr>
        <w:t>德国有商会（IHK）统一考试，中国缺少对应机构。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本土化改造：三条替换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德国假设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中国现实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本课程替换方案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企业愿意且有能力承担 60% 教学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企业参与度不均，师傅无教学训练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三档企业模型（见 §3），共用量规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学生入学即与企业签约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多数学生先在校学习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校内仿真 + 企业项目周混合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商会统一考试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无对应机构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校内答辩 + 企业评委 + 1+X 证书三合一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三档企业模型（本课程的核心创新）</w:t>
      </w:r>
    </w:p>
    <w:p>
      <w:pPr>
        <w:pStyle w:val="Heading3"/>
      </w:pPr>
      <w:r>
        <w:t>3.1 三档定义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档位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企业侧做什么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课时占比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 档（深度合作）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有稳定合作企业，能提供真实工单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真实需求、现场参观、师傅评审、顶岗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 40%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 档（校内基地）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有实训基地/仿真产线/门店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仿真任务、设备操作、校内师傅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 25%（仿真）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 档（资源缺位）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无企业资源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教师扮演客户、用天工脱敏场景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 10%（情境模拟）</w:t>
            </w:r>
          </w:p>
        </w:tc>
      </w:tr>
    </w:tbl>
    <w:p>
      <w:pPr>
        <w:pStyle w:val="Heading3"/>
      </w:pPr>
      <w:r>
        <w:t>3.2 三档共用一套"不变的东西"</w:t>
      </w:r>
    </w:p>
    <w:p>
      <w:r>
        <w:rPr>
          <w:b w:val="0"/>
        </w:rPr>
        <w:t>无论哪档，以下四项</w:t>
      </w:r>
      <w:r>
        <w:rPr>
          <w:b/>
        </w:rPr>
        <w:t>完全一致</w:t>
      </w:r>
      <w:r>
        <w:rPr>
          <w:b w:val="0"/>
        </w:rPr>
        <w:t>（保证课程标准不降级）：</w:t>
      </w:r>
    </w:p>
    <w:p>
      <w:pPr>
        <w:pStyle w:val="ListNumber"/>
        <w:ind w:left="360"/>
      </w:pPr>
      <w:r>
        <w:rPr>
          <w:b w:val="0"/>
        </w:rPr>
        <w:t>任务书结构（</w:t>
      </w:r>
      <w:r>
        <w:rPr>
          <w:rFonts w:ascii="Consolas" w:hAnsi="Consolas"/>
          <w:b w:val="0"/>
          <w:sz w:val="19"/>
        </w:rPr>
        <w:t>docs/08</w:t>
      </w:r>
      <w:r>
        <w:rPr>
          <w:b w:val="0"/>
        </w:rPr>
        <w:t>）；</w:t>
      </w:r>
    </w:p>
    <w:p>
      <w:pPr>
        <w:pStyle w:val="ListNumber"/>
        <w:ind w:left="360"/>
      </w:pPr>
      <w:r>
        <w:rPr>
          <w:b w:val="0"/>
        </w:rPr>
        <w:t>评价量规（</w:t>
      </w:r>
      <w:r>
        <w:rPr>
          <w:rFonts w:ascii="Consolas" w:hAnsi="Consolas"/>
          <w:b w:val="0"/>
          <w:sz w:val="19"/>
        </w:rPr>
        <w:t>docs/06</w:t>
      </w:r>
      <w:r>
        <w:rPr>
          <w:b w:val="0"/>
        </w:rPr>
        <w:t>）；</w:t>
      </w:r>
    </w:p>
    <w:p>
      <w:pPr>
        <w:pStyle w:val="ListNumber"/>
        <w:ind w:left="360"/>
      </w:pPr>
      <w:r>
        <w:rPr>
          <w:b w:val="0"/>
        </w:rPr>
        <w:t xml:space="preserve">交付物清单（10 项，见 </w:t>
      </w:r>
      <w:r>
        <w:rPr>
          <w:rFonts w:ascii="Consolas" w:hAnsi="Consolas"/>
          <w:b w:val="0"/>
          <w:sz w:val="19"/>
        </w:rPr>
        <w:t>docs/00</w:t>
      </w:r>
      <w:r>
        <w:rPr>
          <w:b w:val="0"/>
        </w:rPr>
        <w:t xml:space="preserve"> §7）；</w:t>
      </w:r>
    </w:p>
    <w:p>
      <w:pPr>
        <w:pStyle w:val="ListNumber"/>
        <w:ind w:left="360"/>
      </w:pPr>
      <w:r>
        <w:rPr>
          <w:b w:val="0"/>
        </w:rPr>
        <w:t>答辩评分表（</w:t>
      </w:r>
      <w:r>
        <w:rPr>
          <w:rFonts w:ascii="Consolas" w:hAnsi="Consolas"/>
          <w:b w:val="0"/>
          <w:sz w:val="19"/>
        </w:rPr>
        <w:t>assessment/答辩评分表.md</w:t>
      </w:r>
      <w:r>
        <w:rPr>
          <w:b w:val="0"/>
        </w:rPr>
        <w:t>）。</w:t>
      </w:r>
    </w:p>
    <w:p>
      <w:pPr>
        <w:ind w:left="360"/>
      </w:pPr>
      <w:r>
        <w:rPr>
          <w:i/>
          <w:color w:val="4A5158"/>
        </w:rPr>
        <w:t>差异只体现在"任务从哪来、谁来看"，而不是"要求多高"。</w:t>
      </w:r>
    </w:p>
    <w:p>
      <w:pPr>
        <w:pStyle w:val="Heading3"/>
      </w:pPr>
      <w:r>
        <w:t>3.3 档位选择决策树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有企业能提供真实场景？</w:t>
        <w:br/>
        <w:t>├─ 是 → 能安排学生进现场吗？</w:t>
        <w:br/>
        <w:t>│        ├─ 是 → A 档</w:t>
        <w:br/>
        <w:t>│        └─ 否 → A- 档（企业出题 + 线上评审）</w:t>
        <w:br/>
        <w:t>└─ 否 → 校内有仿真环境吗？</w:t>
        <w:br/>
        <w:t xml:space="preserve">         ├─ 是 → B 档</w:t>
        <w:br/>
        <w:t xml:space="preserve">         └─ 否 → C 档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学习领域 → 学习情境 → 任务</w:t>
      </w:r>
    </w:p>
    <w:p>
      <w:pPr>
        <w:pStyle w:val="Heading3"/>
      </w:pPr>
      <w:r>
        <w:t>4.1 三层映射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德国术语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本课程对应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学习领域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Lernfeld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 个模块（M0–M9）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学习情境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Lernsituation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个企业情境（每次课 1 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工作任务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Arbeitsauftrag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每次课的任务书（A/B/C 三档）</w:t>
            </w:r>
          </w:p>
        </w:tc>
      </w:tr>
    </w:tbl>
    <w:p>
      <w:pPr>
        <w:pStyle w:val="Heading3"/>
      </w:pPr>
      <w:r>
        <w:t>4.2 一个学习情境的写法（模板）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【情境】谁、在什么场景、遇到什么问题、代价多大（3–5 句，必须真实）</w:t>
        <w:br/>
        <w:t>【任务】你要交付什么（可验收）</w:t>
        <w:br/>
        <w:t>【约束】时间/成本/合规/技术限制</w:t>
        <w:br/>
        <w:t>【角色】你在其中是什么角色（工程师/实施/测试）</w:t>
        <w:br/>
        <w:t>【评价】谁按什么标准验收</w:t>
      </w:r>
    </w:p>
    <w:p>
      <w:r>
        <w:rPr>
          <w:b w:val="0"/>
        </w:rPr>
        <w:t>示例（S05）：</w:t>
      </w:r>
    </w:p>
    <w:p>
      <w:pPr>
        <w:ind w:left="360"/>
      </w:pPr>
      <w:r>
        <w:rPr>
          <w:i/>
          <w:color w:val="4A5158"/>
        </w:rPr>
        <w:t>【情境】某厂因"临时开启禁入区开关"做调试，忘记关，AMR 进入配电房。 【任务】证明你们的系统不存在这个开关，并给出三种绕过尝试的结果。 【约束】不得修改红线判定逻辑；只能用现有接口。 【角色】安全评审工程师。 【评价】安全专员按"拦截有效性 + 论证严谨性"验收。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行动导向六步法（每次课的骨架）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步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德语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教师做什么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学生做什么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时长占比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Informieren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给情境、给资料，不先给答案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收集信息、提问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Planen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提供模板与检查表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拆解任务、画方案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Entscheiden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组织方案评审、纠偏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选定方案、定分工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Ausführen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巡回，只答"怎么查"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动手实施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Kontrollieren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发自检清单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自检 + 交叉验证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Bewerten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组织评价与复盘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自评/互评/费曼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</w:tr>
    </w:tbl>
    <w:p>
      <w:pPr>
        <w:ind w:left="360"/>
      </w:pPr>
      <w:r>
        <w:rPr>
          <w:i/>
          <w:color w:val="4A5158"/>
        </w:rPr>
        <w:t>教师纪律：第 1–2 步不许直接给答案。学生卡住时，给"查什么"而不是"是什么"。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企业师傅的角色与培训</w:t>
      </w:r>
    </w:p>
    <w:p>
      <w:pPr>
        <w:pStyle w:val="Heading3"/>
      </w:pPr>
      <w:r>
        <w:t>6.1 师傅要做的三件事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频次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时长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任务书评审（是否真实、是否可完成）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每模块 1 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现场/线上指导（回答业务问题）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 2 周 1 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答辩评委（工程视角打分）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期末 1 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h</w:t>
            </w:r>
          </w:p>
        </w:tc>
      </w:tr>
    </w:tbl>
    <w:p>
      <w:pPr>
        <w:pStyle w:val="Heading3"/>
      </w:pPr>
      <w:r>
        <w:t>6.2 师傅培训（2 小时，开课前）</w:t>
      </w:r>
    </w:p>
    <w:p>
      <w:pPr>
        <w:pStyle w:val="ListNumber"/>
        <w:ind w:left="360"/>
      </w:pPr>
      <w:r>
        <w:rPr>
          <w:b w:val="0"/>
        </w:rPr>
        <w:t>30 min：课程目标与评价量规（怎么打分才一致）</w:t>
      </w:r>
    </w:p>
    <w:p>
      <w:pPr>
        <w:pStyle w:val="ListNumber"/>
        <w:ind w:left="360"/>
      </w:pPr>
      <w:r>
        <w:rPr>
          <w:b w:val="0"/>
        </w:rPr>
        <w:t>30 min：如何给"业务约束"而不是"技术答案"</w:t>
      </w:r>
    </w:p>
    <w:p>
      <w:pPr>
        <w:pStyle w:val="ListNumber"/>
        <w:ind w:left="360"/>
      </w:pPr>
      <w:r>
        <w:rPr>
          <w:b w:val="0"/>
        </w:rPr>
        <w:t>30 min：常见学生问题与回应话术</w:t>
      </w:r>
    </w:p>
    <w:p>
      <w:pPr>
        <w:pStyle w:val="ListNumber"/>
        <w:ind w:left="360"/>
      </w:pPr>
      <w:r>
        <w:rPr>
          <w:b w:val="0"/>
        </w:rPr>
        <w:t>30 min：试评一份学生作品（校准评分尺度）</w:t>
      </w:r>
    </w:p>
    <w:p>
      <w:pPr>
        <w:ind w:left="360"/>
      </w:pPr>
      <w:r>
        <w:rPr>
          <w:i/>
          <w:color w:val="4A5158"/>
        </w:rPr>
        <w:t>关键：师傅不需要懂代码，只需要能判断"这个方案在我们厂能不能用"。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双元评价：两个视角、一张表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视角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谁打分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看什么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学校视角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规范性、可测性、学习目标达成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企业视角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师傅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可用性、可维护性、成本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40%</w:t>
            </w:r>
          </w:p>
        </w:tc>
      </w:tr>
    </w:tbl>
    <w:p>
      <w:r>
        <w:rPr>
          <w:b/>
        </w:rPr>
        <w:t>冲突处理</w:t>
      </w:r>
      <w:r>
        <w:rPr>
          <w:b w:val="0"/>
        </w:rPr>
        <w:t>：若两者分差 &gt; 15 分，由教研室组织复议，以"证据"为准（谁能拿出运行证据谁赢）。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时间与场地安排（16 周示例，A 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学校（4 课时）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企业侧（课后/项目周）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S01–S04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参观 + 访谈（4 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S05–S08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现场安全讲解 + 排产观察（4 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9–12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S09–S12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数据治理访谈 + 测试规范（4 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跟班值班（4 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14–15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S14–S15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门店/产线调研 + 中期评审（6 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答辩（企业评委）</w:t>
            </w:r>
          </w:p>
        </w:tc>
      </w:tr>
    </w:tbl>
    <w:p>
      <w:r>
        <w:rPr>
          <w:b w:val="0"/>
        </w:rPr>
        <w:t>B/C 档把"企业侧"替换为校内仿真/情境模拟，</w:t>
      </w:r>
      <w:r>
        <w:rPr>
          <w:b/>
        </w:rPr>
        <w:t>总课时不变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常见问题（FAQ）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回答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企业不愿意参与怎么办？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切 B/C 档；用天工脱敏场景 + 教师扮演客户，量规不变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师傅不会用评价量规？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开课前 2 小时培训 + 试评校准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学生基础差，六步法走不动？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1–2 步给"半成品模板"（填空式），逐步撤掉脚手架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课时不够？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压缩 S11（接口）为自学，保 S05/S07（安全与证据）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怎么证明双元制真的实施了？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留存：任务书签字、师傅评审记录、答辩评分表、现场照片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质量证据（用于教学诊改/申报）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证据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三档实施记录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 + 签字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企业参与度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师傅评审次数、答辩出席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学生能力达成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量规得分 + 答辩成绩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课程迭代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docs/10 踩坑记录 + 每轮修订说明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