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天工项目快照</w:t>
      </w:r>
    </w:p>
    <w:p>
      <w:pPr>
        <w:ind w:left="360"/>
      </w:pPr>
      <w:r>
        <w:rPr>
          <w:i/>
          <w:color w:val="4A5158"/>
        </w:rPr>
        <w:t>采集时间：2026-10-26 09:50:27　｜　采集方式：tools/sync_upstream.py 本文件由脚本生成，请勿手工编辑；需要改内容请改上游或改脚本。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仓库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tianqiongenze/tiangong-ewa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4222b8c（2026-10-26）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单元/接口测试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120 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浏览器 E2E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 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覆盖率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数据规模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100,000,000 行 / 5.03 GiB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 天聚合（明细 → 预聚合）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173,537 ms → 0.23 ms</w:t>
            </w:r>
          </w:p>
        </w:tc>
      </w:tr>
    </w:tbl>
    <w:p>
      <w:pPr>
        <w:pStyle w:val="Heading2"/>
      </w:pPr>
      <w:r>
        <w:t>课程中引用的上游文档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docs/00_项目总览与方案基线.md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docs/01_可行性研究与商业论证.md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docs/02_需求规格说明书.md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docs/03_总体架构设计.md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docs/04_数据与技能架构.md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docs/05_智能体Harness设计.md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docs/06_接口与集成规范.md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docs/07_安全合规与AI治理.md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docs/08_测试与质量保证.md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docs/09_DevOps交付流水线.md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docs/10_实施路线图与阶段计划.md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docs/11_验收标准与上线检查单.md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docs/12_标准符合性矩阵.md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docs/38_运维手册.md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docs/43_多视角审查与重构总路线.md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docs/44_全链路与性能测试报告.md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docs/45_局域网人工测试操作指南.md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