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可行性研究与商业论证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架构愿景 A / GB/T 8567 可行性分析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市场分析（2026-10 公开数据）</w:t>
      </w:r>
    </w:p>
    <w:p>
      <w:pPr>
        <w:pStyle w:val="Heading3"/>
      </w:pPr>
      <w:r>
        <w:t>1.1 规模与增速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中国具身智能市场规模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2025 年 9150 亿元；2026 年预计破万亿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广义口径（中商产业研究院）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2026 H1 融资额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935 亿元，同比约 +5 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资本高度活跃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人形机器人产量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H1 超 4 万台，全年预计超 10 万台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量产元年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整机产品数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400+ 款，超全球总数一半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供给侧拥挤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产业销售收入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年 1–5 月同比 +22.4%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收入端跟进</w:t>
            </w:r>
          </w:p>
        </w:tc>
      </w:tr>
    </w:tbl>
    <w:p>
      <w:pPr>
        <w:pStyle w:val="Heading3"/>
      </w:pPr>
      <w:r>
        <w:t>1.2 政策窗口</w:t>
      </w:r>
    </w:p>
    <w:p>
      <w:pPr>
        <w:pStyle w:val="ListBullet"/>
        <w:ind w:left="360"/>
      </w:pPr>
      <w:r>
        <w:rPr>
          <w:b/>
        </w:rPr>
        <w:t>"十五五"规划</w:t>
      </w:r>
      <w:r>
        <w:rPr>
          <w:b w:val="0"/>
        </w:rPr>
        <w:t>：具身智能列入未来产业重点布局</w:t>
      </w:r>
    </w:p>
    <w:p>
      <w:pPr>
        <w:pStyle w:val="ListBullet"/>
        <w:ind w:left="360"/>
      </w:pPr>
      <w:r>
        <w:rPr>
          <w:b/>
        </w:rPr>
        <w:t>工信部</w:t>
      </w:r>
      <w:r>
        <w:rPr>
          <w:b w:val="0"/>
        </w:rPr>
        <w:t>：2026 = 应用元年 + 量产元年；2026-02-28 发布首个《人形机器人与具身智能标准体系（2026 版）》</w:t>
      </w:r>
    </w:p>
    <w:p>
      <w:pPr>
        <w:pStyle w:val="ListBullet"/>
        <w:ind w:left="360"/>
      </w:pPr>
      <w:r>
        <w:rPr>
          <w:b/>
        </w:rPr>
        <w:t>工信部 + 国资委</w:t>
      </w:r>
      <w:r>
        <w:rPr>
          <w:b w:val="0"/>
        </w:rPr>
        <w:t>（工信厅联科函〔2026〕256 号）：2026 年度实景实训专项行动——</w:t>
      </w:r>
    </w:p>
    <w:p>
      <w:r>
        <w:rPr>
          <w:b w:val="0"/>
        </w:rPr>
        <w:t>聚焦工业/服务/特种三大领域、九大场景（生产制造、检测分析、维修维护、仓储物流、餐饮零售、医疗康养、应急救援等）， 目标：年底凝练</w:t>
      </w:r>
      <w:r>
        <w:rPr>
          <w:b/>
        </w:rPr>
        <w:t>百个以上高价值应用场景</w:t>
      </w:r>
      <w:r>
        <w:rPr>
          <w:b w:val="0"/>
        </w:rPr>
        <w:t>，带动</w:t>
      </w:r>
      <w:r>
        <w:rPr>
          <w:b/>
        </w:rPr>
        <w:t>万台级</w:t>
      </w:r>
      <w:r>
        <w:rPr>
          <w:b w:val="0"/>
        </w:rPr>
        <w:t>规模落地能力</w:t>
      </w:r>
    </w:p>
    <w:p>
      <w:pPr>
        <w:pStyle w:val="ListBullet"/>
        <w:ind w:left="360"/>
      </w:pPr>
      <w:r>
        <w:rPr>
          <w:b/>
        </w:rPr>
        <w:t>训练场基建</w:t>
      </w:r>
      <w:r>
        <w:rPr>
          <w:b w:val="0"/>
        </w:rPr>
        <w:t>：截至 2026 年 6 月，全国建成启用</w:t>
      </w:r>
      <w:r>
        <w:rPr>
          <w:b/>
        </w:rPr>
        <w:t>超 70 家</w:t>
      </w:r>
      <w:r>
        <w:rPr>
          <w:b w:val="0"/>
        </w:rPr>
        <w:t>具身智能训练场；2024–2026.6 各地发布 40+ 份政策文件</w:t>
      </w:r>
    </w:p>
    <w:p>
      <w:pPr>
        <w:pStyle w:val="Heading3"/>
      </w:pPr>
      <w:r>
        <w:t>1.3 行业真实矛盾</w:t>
      </w:r>
    </w:p>
    <w:p>
      <w:r>
        <w:rPr>
          <w:b w:val="0"/>
        </w:rPr>
        <w:t>《2026 全球具身智能商业落地研究报告》直面："</w:t>
      </w:r>
      <w:r>
        <w:rPr>
          <w:b/>
        </w:rPr>
        <w:t>Demo 多、订单少，样机多、量产少</w:t>
      </w:r>
      <w:r>
        <w:rPr>
          <w:b w:val="0"/>
        </w:rPr>
        <w:t>"。 2026 WRC 共识：关注点从"能不能干活"转向"</w:t>
      </w:r>
      <w:r>
        <w:rPr>
          <w:b/>
        </w:rPr>
        <w:t>能不能稳定、高效地干活</w:t>
      </w:r>
      <w:r>
        <w:rPr>
          <w:b w:val="0"/>
        </w:rPr>
        <w:t>"。</w:t>
      </w:r>
    </w:p>
    <w:p>
      <w:r>
        <w:rPr>
          <w:b w:val="0"/>
        </w:rPr>
        <w:t>已验证的边界：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3C 精密上下料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智元 G2：连续 2283 次、成功率 100%、8 小时直播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结构化场景已可规模化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汽车焊装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清华系 Phi-Bot X1 获车厂订单（蔚来焊装线）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车厂付费意愿已验证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电池制造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机器人驮电池回电池工厂产线，资本/零部件/订单闭环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头部客户自建闭环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服务/清洁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普渡"一脑多形"；庭院清洁出货 150 万台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消费端已跑量</w:t>
            </w:r>
          </w:p>
        </w:tc>
      </w:tr>
    </w:tbl>
    <w:p>
      <w:r>
        <w:rPr>
          <w:b/>
        </w:rPr>
        <w:t>判断：能力侧已被验证，</w:t>
      </w:r>
      <w:r>
        <w:rPr>
          <w:b w:val="0"/>
        </w:rPr>
        <w:t>软件侧（编排/安全/证据/治理）成为新瓶颈与利润池**。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问题定义</w:t>
      </w:r>
    </w:p>
    <w:p>
      <w:pPr>
        <w:pStyle w:val="Heading3"/>
      </w:pPr>
      <w:r>
        <w:t>2.1 客户痛点（设备部/生产部视角）</w:t>
      </w:r>
    </w:p>
    <w:p>
      <w:pPr>
        <w:pStyle w:val="ListNumber"/>
        <w:ind w:left="360"/>
      </w:pPr>
      <w:r>
        <w:rPr>
          <w:b/>
        </w:rPr>
        <w:t>买了机器人不敢用</w:t>
      </w:r>
      <w:r>
        <w:rPr>
          <w:b w:val="0"/>
        </w:rPr>
        <w:t>：没有安全裁定与人工确认机制，安监不过</w:t>
      </w:r>
    </w:p>
    <w:p>
      <w:pPr>
        <w:pStyle w:val="ListNumber"/>
        <w:ind w:left="360"/>
      </w:pPr>
      <w:r>
        <w:rPr>
          <w:b/>
        </w:rPr>
        <w:t>用了说不清</w:t>
      </w:r>
      <w:r>
        <w:rPr>
          <w:b w:val="0"/>
        </w:rPr>
        <w:t>：出了事没有证据链，无法复盘与定责</w:t>
      </w:r>
    </w:p>
    <w:p>
      <w:pPr>
        <w:pStyle w:val="ListNumber"/>
        <w:ind w:left="360"/>
      </w:pPr>
      <w:r>
        <w:rPr>
          <w:b/>
        </w:rPr>
        <w:t>多厂商机群难管</w:t>
      </w:r>
      <w:r>
        <w:rPr>
          <w:b w:val="0"/>
        </w:rPr>
        <w:t>：AMR/四足/人形/臂各一套系统，调度靠人盯</w:t>
      </w:r>
    </w:p>
    <w:p>
      <w:pPr>
        <w:pStyle w:val="ListNumber"/>
        <w:ind w:left="360"/>
      </w:pPr>
      <w:r>
        <w:rPr>
          <w:b/>
        </w:rPr>
        <w:t>技能迭代不可控</w:t>
      </w:r>
      <w:r>
        <w:rPr>
          <w:b w:val="0"/>
        </w:rPr>
        <w:t>：VLA 模型天天更新，上线靠运气，回滚靠重启</w:t>
      </w:r>
    </w:p>
    <w:p>
      <w:pPr>
        <w:pStyle w:val="ListNumber"/>
        <w:ind w:left="360"/>
      </w:pPr>
      <w:r>
        <w:rPr>
          <w:b/>
        </w:rPr>
        <w:t>数据白白流走</w:t>
      </w:r>
      <w:r>
        <w:rPr>
          <w:b w:val="0"/>
        </w:rPr>
        <w:t>：实景作业数据不采集，模型迭代永远缺数据</w:t>
      </w:r>
    </w:p>
    <w:p>
      <w:pPr>
        <w:pStyle w:val="Heading3"/>
      </w:pPr>
      <w:r>
        <w:t>2.2 竞品与空白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现有供给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空白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本体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宇树/智元/优必选/越疆等 400+ 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过剩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VLA 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OpenVLA / π0 / GR00T N1 / NeuroVLA 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快速进步，但上线治理缺位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调度中间件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VDA 5050 类（车队层）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无语义层：不懂作业单、不懂安全区、不懂证据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本项目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作业智能体平台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补这一层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方案概述</w:t>
      </w:r>
    </w:p>
    <w:p>
      <w:r>
        <w:rPr>
          <w:b w:val="0"/>
        </w:rPr>
        <w:t>天工平台五能力：</w:t>
      </w:r>
    </w:p>
    <w:p>
      <w:pPr>
        <w:pStyle w:val="ListNumber"/>
        <w:ind w:left="360"/>
      </w:pPr>
      <w:r>
        <w:rPr>
          <w:b/>
        </w:rPr>
        <w:t>任务分解</w:t>
      </w:r>
      <w:r>
        <w:rPr>
          <w:b w:val="0"/>
        </w:rPr>
        <w:t>：作业单 → 任务 DAG（规则规划器兜底 + LLM 规划器接口）</w:t>
      </w:r>
    </w:p>
    <w:p>
      <w:pPr>
        <w:pStyle w:val="ListNumber"/>
        <w:ind w:left="360"/>
      </w:pPr>
      <w:r>
        <w:rPr>
          <w:b/>
        </w:rPr>
        <w:t>异构调度</w:t>
      </w:r>
      <w:r>
        <w:rPr>
          <w:b w:val="0"/>
        </w:rPr>
        <w:t>：能力画像匹配（负载/展幅/传感器/技能/续航/本质安全）</w:t>
      </w:r>
    </w:p>
    <w:p>
      <w:pPr>
        <w:pStyle w:val="ListNumber"/>
        <w:ind w:left="360"/>
      </w:pPr>
      <w:r>
        <w:rPr>
          <w:b/>
        </w:rPr>
        <w:t>安全运行时</w:t>
      </w:r>
      <w:r>
        <w:rPr>
          <w:b w:val="0"/>
        </w:rPr>
        <w:t>：电子围栏 + 五条红线 + 急停 + 遥操作升级路径</w:t>
      </w:r>
    </w:p>
    <w:p>
      <w:pPr>
        <w:pStyle w:val="ListNumber"/>
        <w:ind w:left="360"/>
      </w:pPr>
      <w:r>
        <w:rPr>
          <w:b/>
        </w:rPr>
        <w:t>证据与治理</w:t>
      </w:r>
      <w:r>
        <w:rPr>
          <w:b w:val="0"/>
        </w:rPr>
        <w:t>：动作级证据链、技能四态（审批/灰度/回滚）、episode 数据飞轮</w:t>
      </w:r>
    </w:p>
    <w:p>
      <w:pPr>
        <w:pStyle w:val="ListNumber"/>
        <w:ind w:left="360"/>
      </w:pPr>
      <w:r>
        <w:rPr>
          <w:b/>
        </w:rPr>
        <w:t>开放接口</w:t>
      </w:r>
      <w:r>
        <w:rPr>
          <w:b w:val="0"/>
        </w:rPr>
        <w:t>：REST / MCP / gRPC 三形态；MES/EAM 经 SPI 适配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技术可行性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软件栈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成熟：Python + Litestar/Granian + msgspec，与 Diting-PdM 同栈已验证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Diting-PdM 生产运行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仿真验证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已闭环：MockRobotDriver 全链路（58 项测试通过，核心覆盖 94%）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真机接入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契约先行：robot_link.proto 定义；VDA 5050 兜底；adapter 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contracts/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VLA 依赖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解耦：技能是受控资产，VLA/规则可替换；降级阶梯保证可用性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16855 / ISO 13849 / IEC 62443 有成熟映射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docs/07</w:t>
            </w:r>
          </w:p>
        </w:tc>
      </w:tr>
    </w:tbl>
    <w:p>
      <w:r>
        <w:rPr>
          <w:b/>
        </w:rPr>
        <w:t>风险点</w:t>
      </w:r>
      <w:r>
        <w:rPr>
          <w:b w:val="0"/>
        </w:rPr>
        <w:t>：真机 VLA 成功率不稳定 → 对策：首期选结构化场景（搬运/巡检）+ L2 规则兜底。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经济可行性（ROI 模型）</w:t>
      </w:r>
    </w:p>
    <w:p>
      <w:r>
        <w:rPr>
          <w:b w:val="0"/>
        </w:rPr>
        <w:t>以雅迪单基地（年产 50 万台电动车）测算，</w:t>
      </w:r>
      <w:r>
        <w:rPr>
          <w:b/>
        </w:rPr>
        <w:t>保守口径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替代人工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 个搬运/巡检岗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两班制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单岗年成本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万元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工资+社保+管理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年节省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48 万元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 ×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平台投入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首期 120 万元（软件 + 适配 + 部署）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机群投入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 万元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台 AMR + 1 臂 + 1 四足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回收期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6.9 个月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(120+45) / (48/12)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 年净收益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200 万元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未计数据资产与多基地复制</w:t>
            </w:r>
          </w:p>
        </w:tc>
      </w:tr>
    </w:tbl>
    <w:p>
      <w:r>
        <w:rPr>
          <w:b w:val="0"/>
        </w:rPr>
        <w:t>敏感性：若仅替代 3 个岗（回收期约 14 个月）仍显著优于行业基准（服务业机器人 24–36 个月）。</w:t>
      </w:r>
    </w:p>
    <w:p>
      <w:r>
        <w:rPr>
          <w:b/>
        </w:rPr>
        <w:t>附加价值（不计入上表）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>实景 episode 数据资产（2026 = 数据元年，训练场/数据服务商有采购需求）</w:t>
      </w:r>
    </w:p>
    <w:p>
      <w:pPr>
        <w:pStyle w:val="ListBullet"/>
        <w:ind w:left="360"/>
      </w:pPr>
      <w:r>
        <w:rPr>
          <w:b w:val="0"/>
        </w:rPr>
        <w:t>多基地复制边际成本趋零</w:t>
      </w:r>
    </w:p>
    <w:p>
      <w:pPr>
        <w:pStyle w:val="ListBullet"/>
        <w:ind w:left="360"/>
      </w:pPr>
      <w:r>
        <w:rPr>
          <w:b w:val="0"/>
        </w:rPr>
        <w:t>与 Diting-PdM 合体："预测性维护建议 → 具身作业执行"全闭环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合规与伦理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等保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二级（首期）→ 三级（多基地）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功能安全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停止区停机 + 急停 + 本质安全优先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ISO/IEC 42001：AI 生成内容标识 + 免责声明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 脱敏 + consent_id；L3/L4 数据不出厂区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许可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生产禁非商用许可权重；开源组件登记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DECISIONS.md D7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结论与建议</w:t>
      </w:r>
    </w:p>
    <w:p>
      <w:r>
        <w:rPr>
          <w:b/>
        </w:rPr>
        <w:t>可行性结论：可行，且正处政策与市场双窗口期。</w:t>
      </w:r>
    </w:p>
    <w:p>
      <w:r>
        <w:rPr>
          <w:b w:val="0"/>
        </w:rPr>
        <w:t>建议：</w:t>
      </w:r>
    </w:p>
    <w:p>
      <w:pPr>
        <w:pStyle w:val="ListNumber"/>
        <w:ind w:left="360"/>
      </w:pPr>
      <w:r>
        <w:rPr>
          <w:b/>
        </w:rPr>
        <w:t>立即启动 Ph0 收尾</w:t>
      </w:r>
      <w:r>
        <w:rPr>
          <w:b w:val="0"/>
        </w:rPr>
        <w:t>（本文档评审 + 红线签字）</w:t>
      </w:r>
    </w:p>
    <w:p>
      <w:pPr>
        <w:pStyle w:val="ListNumber"/>
        <w:ind w:left="360"/>
      </w:pPr>
      <w:r>
        <w:rPr>
          <w:b/>
        </w:rPr>
        <w:t>Ph1 聚焦软件闭环 + 仿真验收</w:t>
      </w:r>
      <w:r>
        <w:rPr>
          <w:b w:val="0"/>
        </w:rPr>
        <w:t>（不依赖真机进度）</w:t>
      </w:r>
    </w:p>
    <w:p>
      <w:pPr>
        <w:pStyle w:val="ListNumber"/>
        <w:ind w:left="360"/>
      </w:pPr>
      <w:r>
        <w:rPr>
          <w:b/>
        </w:rPr>
        <w:t>真机联排与 Ph2 并行</w:t>
      </w:r>
      <w:r>
        <w:rPr>
          <w:b w:val="0"/>
        </w:rPr>
        <w:t>：选 1 家 AMR 厂商按 robot_link.proto 适配</w:t>
      </w:r>
    </w:p>
    <w:p>
      <w:pPr>
        <w:pStyle w:val="ListNumber"/>
        <w:ind w:left="360"/>
      </w:pPr>
      <w:r>
        <w:rPr>
          <w:b/>
        </w:rPr>
        <w:t>申报实景实训场景</w:t>
      </w:r>
      <w:r>
        <w:rPr>
          <w:b w:val="0"/>
        </w:rPr>
        <w:t>：借政策窗口拿场景与补贴（docs/10）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