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· DevOps 交付流水线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v1.1（新增持久化/可观测/多品牌适配的部署口径）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2026-10-26（首版 2026-10-25）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CI/CD 门禁统一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流水线总览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push/PR ──▶ CI（.github/workflows/ci.yml）</w:t>
        <w:br/>
        <w:t xml:space="preserve">              ├─ lint（ruff）</w:t>
        <w:br/>
        <w:t xml:space="preserve">              ├─ test（pytest --maxfail=1）</w:t>
        <w:br/>
        <w:t xml:space="preserve">              ├─ coverage（--fail-under=80）</w:t>
        <w:br/>
        <w:t xml:space="preserve">              ├─ demo smoke（无硬件全链路）</w:t>
        <w:br/>
        <w:t xml:space="preserve">              └─ buf lint（契约）</w:t>
        <w:br/>
        <w:t xml:space="preserve">                    │</w:t>
        <w:br/>
        <w:t xml:space="preserve">                    ▼ 全绿</w:t>
        <w:br/>
        <w:t xml:space="preserve">              build 镜像 ──▶ 部署（K3s / K8s）</w:t>
      </w:r>
    </w:p>
    <w:p>
      <w:r>
        <w:rPr>
          <w:b w:val="0"/>
        </w:rPr>
        <w:t>统一门禁原则：语言可不同，门槛必须一致（与 Diting-PdM 同）。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本地开发流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make test       # 全量测试</w:t>
        <w:br/>
        <w:t>make coverage   # 覆盖率</w:t>
        <w:br/>
        <w:t>make lint       # ruff</w:t>
        <w:br/>
        <w:t>make demo       # 演示闭环</w:t>
        <w:br/>
        <w:t>make run        # 起服务 :8000</w:t>
        <w:br/>
        <w:t>make smoke      # 冒烟（healthz + robots）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制品与镜像</w:t>
      </w:r>
    </w:p>
    <w:p>
      <w:pPr>
        <w:pStyle w:val="ListBullet"/>
        <w:ind w:left="360"/>
      </w:pPr>
      <w:r>
        <w:rPr>
          <w:b w:val="0"/>
        </w:rPr>
        <w:t>镜像：</w:t>
      </w:r>
      <w:r>
        <w:rPr>
          <w:rFonts w:ascii="Consolas" w:hAnsi="Consolas"/>
          <w:b w:val="0"/>
          <w:sz w:val="19"/>
        </w:rPr>
        <w:t>registry/tiangong/agent-runtime:&lt;version&gt;</w:t>
      </w:r>
    </w:p>
    <w:p>
      <w:pPr>
        <w:pStyle w:val="ListBullet"/>
        <w:ind w:left="360"/>
      </w:pPr>
      <w:r>
        <w:rPr>
          <w:b w:val="0"/>
        </w:rPr>
        <w:t>版本：语义化（0.1.0 起）；每次发版对应 git tag</w:t>
      </w:r>
    </w:p>
    <w:p>
      <w:pPr>
        <w:pStyle w:val="ListBullet"/>
        <w:ind w:left="360"/>
      </w:pPr>
      <w:r>
        <w:rPr>
          <w:b w:val="0"/>
        </w:rPr>
        <w:t>安全基线：</w:t>
      </w:r>
      <w:r>
        <w:rPr>
          <w:rFonts w:ascii="Consolas" w:hAnsi="Consolas"/>
          <w:b w:val="0"/>
          <w:sz w:val="19"/>
        </w:rPr>
        <w:t>readOnlyRootFilesystem</w:t>
      </w:r>
      <w:r>
        <w:rPr>
          <w:b w:val="0"/>
        </w:rPr>
        <w:t xml:space="preserve"> + </w:t>
      </w:r>
      <w:r>
        <w:rPr>
          <w:rFonts w:ascii="Consolas" w:hAnsi="Consolas"/>
          <w:b w:val="0"/>
          <w:sz w:val="19"/>
        </w:rPr>
        <w:t>runAsNonRoot</w:t>
      </w:r>
      <w:r>
        <w:rPr>
          <w:b w:val="0"/>
        </w:rPr>
        <w:t xml:space="preserve"> + 资源限额（见 deploy/k8s）</w:t>
      </w:r>
    </w:p>
    <w:p>
      <w:pPr>
        <w:pStyle w:val="Heading3"/>
      </w:pPr>
      <w:r>
        <w:t>3.1 运行时配置（必配项）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变量 / 挂载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生产值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TIANGONG_DB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/data/tiangong.db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不设则为内存库，重启即丢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/data 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PVC（≥ 20 GiB）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SQLite + WAL，需与 Pod 同生命周期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/episodes 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对象存储或 PVC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 分片，按天分片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Asia/Shanghai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审计时间口径统一</w:t>
            </w:r>
          </w:p>
        </w:tc>
      </w:tr>
    </w:tbl>
    <w:p>
      <w:pPr>
        <w:ind w:left="360"/>
      </w:pPr>
      <w:r>
        <w:rPr>
          <w:i/>
          <w:color w:val="4A5158"/>
        </w:rPr>
        <w:t>单副本写库限制：SQLite 为单写者模型，agent-runtime 写实例应为 1； 需要横向扩展时，读实例可多副本（走读连接 + 缓存），写实例保持单点并由 K8s 保证重启。 这是 A7 决策的显式代价，生产规模化时按 A9 迁移 PostgreSQL（届时可多写）。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部署拓扑</w:t>
      </w:r>
    </w:p>
    <w:p>
      <w:pPr>
        <w:pStyle w:val="Heading3"/>
      </w:pPr>
      <w:r>
        <w:t>4.1 单基地（演示/首期）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K3s 集群</w:t>
        <w:br/>
        <w:t>├── agent-runtime (×2 副本)</w:t>
        <w:br/>
        <w:t>├── PostgreSQL（作业/技能/episode 元数据）</w:t>
        <w:br/>
        <w:t>└── 对象存储（episode 分片）</w:t>
      </w:r>
    </w:p>
    <w:p>
      <w:pPr>
        <w:pStyle w:val="Heading3"/>
      </w:pPr>
      <w:r>
        <w:t>4.2 多基地（Ph3）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总部中心</w:t>
        <w:br/>
        <w:t>├── 技能注册中心（审批/灰度/回滚的唯一真相源）</w:t>
        <w:br/>
        <w:t>├── 数据湖（脱敏 episode 汇聚）</w:t>
        <w:br/>
        <w:t>└── 看板（成功率/降级率/人工接管率）</w:t>
        <w:br/>
        <w:br/>
        <w:t>基地边缘（每基地）</w:t>
        <w:br/>
        <w:t>├── agent-runtime（本地闭环，弱网可自治）</w:t>
        <w:br/>
        <w:t>├── 本地 episode 缓存（断点续传）</w:t>
        <w:br/>
        <w:t>└── RobotLink adapters</w:t>
      </w:r>
    </w:p>
    <w:p>
      <w:pPr>
        <w:ind w:left="360"/>
      </w:pPr>
      <w:r>
        <w:rPr>
          <w:i/>
          <w:color w:val="4A5158"/>
        </w:rPr>
        <w:t>边缘自治原则：网络中断不影响已审批作业单的本地执行； 恢复后 episode 与审批记录自动同步。</w:t>
      </w:r>
    </w:p>
    <w:p>
      <w:pPr>
        <w:pStyle w:val="Heading3"/>
      </w:pPr>
      <w:r>
        <w:t>4.3 多品牌接入拓扑（v1.1）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┌──────────────────────────────┐</w:t>
        <w:br/>
        <w:t xml:space="preserve">              │ agent-runtime                │</w:t>
        <w:br/>
        <w:t xml:space="preserve">              │  AdapterRegistry             │</w:t>
        <w:br/>
        <w:t xml:space="preserve">              └───┬───────────┬──────────┬───┘</w:t>
        <w:br/>
        <w:t xml:space="preserve">                  │ gRPC      │ MQTT     │ gRPC</w:t>
        <w:br/>
        <w:t xml:space="preserve">          ┌───────▼──┐  ┌─────▼─────┐  ┌─▼────────┐</w:t>
        <w:br/>
        <w:t xml:space="preserve">          │ 厂商 A 网关│  │ VDA 5050  │  │ 厂商 B 网关│</w:t>
        <w:br/>
        <w:t xml:space="preserve">          │（私有协议）│  │ broker    │  │（私有协议）│</w:t>
        <w:br/>
        <w:t xml:space="preserve">          └───────┬──┘  └─────┬─────┘  └─┬────────┘</w:t>
        <w:br/>
        <w:t xml:space="preserve">                  ▼            ▼          ▼</w:t>
        <w:br/>
        <w:t xml:space="preserve">               AMR 群     跨品牌 AGV    机械臂/四足</w:t>
      </w:r>
    </w:p>
    <w:p>
      <w:pPr>
        <w:pStyle w:val="ListBullet"/>
        <w:ind w:left="360"/>
      </w:pPr>
      <w:r>
        <w:rPr>
          <w:b w:val="0"/>
        </w:rPr>
        <w:t>适配器以</w:t>
      </w:r>
      <w:r>
        <w:rPr>
          <w:b/>
        </w:rPr>
        <w:t>独立 Deployment 或 sidecar</w:t>
      </w:r>
      <w:r>
        <w:rPr>
          <w:b w:val="0"/>
        </w:rPr>
        <w:t xml:space="preserve"> 部署，崩溃不拖垮编排主进程</w:t>
      </w:r>
    </w:p>
    <w:p>
      <w:pPr>
        <w:pStyle w:val="ListBullet"/>
        <w:ind w:left="360"/>
      </w:pPr>
      <w:r>
        <w:rPr>
          <w:b w:val="0"/>
        </w:rPr>
        <w:t>broker 与网关需在安全区网络内，禁止跨区直连（等保边界）</w:t>
      </w:r>
    </w:p>
    <w:p>
      <w:pPr>
        <w:pStyle w:val="ListBullet"/>
        <w:ind w:left="360"/>
      </w:pPr>
      <w:r>
        <w:rPr>
          <w:b w:val="0"/>
        </w:rPr>
        <w:t>新增品牌 = 新增 adapter + 注册表登记，</w:t>
      </w:r>
      <w:r>
        <w:rPr>
          <w:b/>
        </w:rPr>
        <w:t>不改核心与服务逻辑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观测</w:t>
      </w:r>
    </w:p>
    <w:p>
      <w:pPr>
        <w:pStyle w:val="Heading3"/>
      </w:pPr>
      <w:r>
        <w:t>5.1 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采集端点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业务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作业单完成率 / 平均节拍 / 人工接管率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/tg-api/v1/episodes/stats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每技能成功率 / 降级触发分布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episodes/stats.success_rate + RunReport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红线违规次数 / 停机次数 / 急停次数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/tg-api/v1/audit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P95 / span 错误率 / 缓存命中率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/tg-api/v1/observability/metrics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单次作业全链 span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/tg-api/v1/observability/spans?trace_id=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集成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事件投递与失败数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/tg-api/v1/events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适配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各品牌健康与延迟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/tg-api/v1/adapters/health</w:t>
            </w:r>
          </w:p>
        </w:tc>
      </w:tr>
    </w:tbl>
    <w:p>
      <w:pPr>
        <w:pStyle w:val="Heading3"/>
      </w:pPr>
      <w:r>
        <w:t>5.2 与外部 APM 对接</w:t>
      </w:r>
    </w:p>
    <w:p>
      <w:r>
        <w:rPr>
          <w:rFonts w:ascii="Consolas" w:hAnsi="Consolas"/>
          <w:b w:val="0"/>
          <w:color w:val="0B4F75"/>
          <w:sz w:val="19"/>
        </w:rPr>
        <w:t>app/otel.py</w:t>
      </w:r>
      <w:r>
        <w:rPr>
          <w:b w:val="0"/>
        </w:rPr>
        <w:t xml:space="preserve"> 输出的 span 结构对齐 OTel GenAI SemConv（</w:t>
      </w:r>
      <w:r>
        <w:rPr>
          <w:rFonts w:ascii="Consolas" w:hAnsi="Consolas"/>
          <w:b w:val="0"/>
          <w:color w:val="0B4F75"/>
          <w:sz w:val="19"/>
        </w:rPr>
        <w:t>gen_ai.system</w:t>
      </w:r>
      <w:r>
        <w:rPr>
          <w:b w:val="0"/>
        </w:rPr>
        <w:t xml:space="preserve">、 </w:t>
      </w:r>
      <w:r>
        <w:rPr>
          <w:rFonts w:ascii="Consolas" w:hAnsi="Consolas"/>
          <w:b w:val="0"/>
          <w:color w:val="0B4F75"/>
          <w:sz w:val="19"/>
        </w:rPr>
        <w:t>gen_ai.request.model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gen_ai.usage.*</w:t>
      </w:r>
      <w:r>
        <w:rPr>
          <w:b w:val="0"/>
        </w:rPr>
        <w:t xml:space="preserve">），可直接映射到现有 APM 的 LLM 观测面板； 未引入 OTel SDK 是刻意选择（避免版本绑定），接入时只需在 </w:t>
      </w:r>
      <w:r>
        <w:rPr>
          <w:rFonts w:ascii="Consolas" w:hAnsi="Consolas"/>
          <w:b w:val="0"/>
          <w:color w:val="0B4F75"/>
          <w:sz w:val="19"/>
        </w:rPr>
        <w:t>Tracer</w:t>
      </w:r>
      <w:r>
        <w:rPr>
          <w:b w:val="0"/>
        </w:rPr>
        <w:t xml:space="preserve"> 内加一个 exporter。</w:t>
      </w:r>
    </w:p>
    <w:p>
      <w:pPr>
        <w:pStyle w:val="Heading3"/>
      </w:pPr>
      <w:r>
        <w:t>5.3 告警建议阈值</w:t>
      </w:r>
    </w:p>
    <w:p>
      <w:r>
        <w:rPr>
          <w:b w:val="0"/>
        </w:rPr>
        <w:t>见 docs/38 §5.1（含分级、首响时限与升级路径），DevOps 侧只负责规则落地与通知通道。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回滚策略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回滚方式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镜像版本回滚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 /skills/{id}/rollback?to={v}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即时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 SUPERSEDED + 重新分解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即时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 checksum 校验 + 分片重导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1 h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环境管理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开发联调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合成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验收（42 项检查单）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脱敏实景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受控</w:t>
            </w:r>
          </w:p>
        </w:tc>
      </w:tr>
    </w:tbl>
    <w:p>
      <w:r>
        <w:rPr>
          <w:b w:val="0"/>
        </w:rPr>
        <w:t>晋升规则：dev → staging 自动；staging → prod 需安全签字（docs/11）。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