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001 · 搬运作业闭环（Feature Spec）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Spec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SPEC-001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关联需求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FR-101 ~ FR-105、FR-201、FR-301 ~ FR-304、FR-501 ~ FR-505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P0（首个可交付切片）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Implemented（Ph0 已实现并通过测试）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平台 + 算法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为什么先做这个（Why）</w:t>
      </w:r>
    </w:p>
    <w:p>
      <w:r>
        <w:rPr>
          <w:b w:val="0"/>
        </w:rPr>
        <w:t>搬运是工厂里</w:t>
      </w:r>
      <w:r>
        <w:rPr>
          <w:b/>
        </w:rPr>
        <w:t>付费意愿最明确、成功率要求最可量化</w:t>
      </w:r>
      <w:r>
        <w:rPr>
          <w:b w:val="0"/>
        </w:rPr>
        <w:t>的场景：</w:t>
      </w:r>
    </w:p>
    <w:p>
      <w:pPr>
        <w:pStyle w:val="ListBullet"/>
        <w:ind w:left="360"/>
      </w:pPr>
      <w:r>
        <w:rPr>
          <w:b w:val="0"/>
        </w:rPr>
        <w:t>雅迪基地物料流密集（电池包/车架/包材），两班制人工成本清晰（docs/01 §5）</w:t>
      </w:r>
    </w:p>
    <w:p>
      <w:pPr>
        <w:pStyle w:val="ListBullet"/>
        <w:ind w:left="360"/>
      </w:pPr>
      <w:r>
        <w:rPr>
          <w:b w:val="0"/>
        </w:rPr>
        <w:t>结构化程度高，VLA 成功率可达标（对标 3C 上下料 100% 案例）</w:t>
      </w:r>
    </w:p>
    <w:p>
      <w:pPr>
        <w:pStyle w:val="ListBullet"/>
        <w:ind w:left="360"/>
      </w:pPr>
      <w:r>
        <w:rPr>
          <w:b w:val="0"/>
        </w:rPr>
        <w:t>零写操作风险之外的物理风险已被红线覆盖（安全区 + 人工令牌）</w:t>
      </w:r>
    </w:p>
    <w:p>
      <w:r>
        <w:rPr>
          <w:b/>
        </w:rPr>
        <w:t>本 spec 就是那个最小闭环</w:t>
      </w:r>
      <w:r>
        <w:rPr>
          <w:b w:val="0"/>
        </w:rPr>
        <w:t>：它同时验证 Harness 全组件（分解/审批/调度/安全/证据/降级/飞轮）。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用户故事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故事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价值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US-1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我想一句话下单"把电池包从原料库送到装配车间A"，不用写程序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当天可用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US-2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维修班长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我想在手机上审批后才允许机器人动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US-3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设备科长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我想看到每次搬运的完整证据链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US-4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安全专员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我想确保机器人永远不进高压配电房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红线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功能需求（EARS）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当用户提交 TRANSPORT 作业单时，系统应分解为 PICK → TRANSPORT → PLACE 三任务 DAG。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[State] 当作业单参数含 weight_kg 时，系统应将其传播到全部搬运动作（安全与匹配依据）。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[State] 当作业单参数含目标坐标 (x, y) 时，系统应将其挂到末位任务（安全审查对象）。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当三要素（物料/起点/终点）缺失时，系统应拒单并说明缺什么。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系统应在任务完成时挂载证据：trace + telemetry + skill_version。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若证据不完整，系统不得将任务标记 DONE（应打回重做）。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当任务失败时，系统应按降级阶梯处置（L1→L2→L3→L4）并显式标记 degraded。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FR-001-08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当任务完成时，系统应记录 episode（含 consent_id）。</w:t>
            </w:r>
          </w:p>
        </w:tc>
      </w:tr>
    </w:tbl>
    <w:p>
      <w:pPr>
        <w:pStyle w:val="Heading2"/>
      </w:pPr>
      <w:r>
        <w:t>4.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NFR-001-01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作业单提交到就绪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 ≤ 2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NFR-001-02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单任务安全审查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 ≤ 5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NFR-001-03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证据完整率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NFR-001-04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决策可解释率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100%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验收标准（ATDD）</w:t>
      </w:r>
    </w:p>
    <w:p>
      <w:r>
        <w:rPr>
          <w:b w:val="0"/>
        </w:rPr>
        <w:t xml:space="preserve">见 </w:t>
      </w:r>
      <w:r>
        <w:rPr>
          <w:rFonts w:ascii="Consolas" w:hAnsi="Consolas"/>
          <w:b w:val="0"/>
          <w:color w:val="0B4F75"/>
          <w:sz w:val="19"/>
        </w:rPr>
        <w:t>features/transport.feature</w:t>
      </w:r>
      <w:r>
        <w:rPr>
          <w:b w:val="0"/>
        </w:rPr>
        <w:t>（Gherkin）。</w:t>
      </w:r>
    </w:p>
    <w:p>
      <w:pPr>
        <w:pStyle w:val="Heading2"/>
      </w:pPr>
      <w:r>
        <w:t>6. 测试映射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测试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覆盖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test_transport_decomposes_to_three_steps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FR-001-01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test_happy_path（E2E）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FR-001-05/08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test_missing_evidence_fails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FR-001-06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test_degradation_ladder_on_chaos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FR-001-07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test_requires_consent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FR-001-08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