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SPEC-002 技术方案（Plan）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工作量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 人日（平台 2 / 测试 1 / 安全评审 1）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架构落点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Action(kind, robot_id, x, y, payload_kg, human_token)</w:t>
        <w:br/>
        <w:t xml:space="preserve">   │</w:t>
        <w:br/>
        <w:t xml:space="preserve">   ▼</w:t>
        <w:br/>
        <w:t>check_action(action, zones, person_in_stop_zone)</w:t>
        <w:br/>
        <w:t xml:space="preserve">   ├─ R1 禁入区遍历        → RedLineError（拒绝）</w:t>
        <w:br/>
        <w:t xml:space="preserve">   ├─ R2 令牌判定          → HUMAN_TOKEN_ACTIONS ∪ payload&gt;50kg</w:t>
        <w:br/>
        <w:t xml:space="preserve">   ├─ R4 人员停机          → Verdict(speed_limit=0)</w:t>
        <w:br/>
        <w:t xml:space="preserve">   └─ SLOW 区              → Verdict(speed_limit=z.speed_limit)</w:t>
      </w:r>
    </w:p>
    <w:p>
      <w:pPr>
        <w:pStyle w:val="Heading2"/>
      </w:pPr>
      <w:r>
        <w:t>2. 关键取舍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选择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令牌簿位置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编排层（Orchestrator.human_tokens）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平台只认簿子；签发在外部审批流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停机语义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Verdict 而非异常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停机是正常安全状态，不是错误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恢复路径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人工确认后重新提交任务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杜绝"自动恢复"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急停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链路层 stopped 集合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抢占式，不依赖编排状态</w:t>
            </w:r>
          </w:p>
        </w:tc>
      </w:tr>
    </w:tbl>
    <w:p>
      <w:pPr>
        <w:pStyle w:val="Heading2"/>
      </w:pPr>
      <w:r>
        <w:t>3. 与本体安全的分界</w:t>
      </w:r>
    </w:p>
    <w:p>
      <w:r>
        <w:rPr>
          <w:b w:val="0"/>
        </w:rPr>
        <w:t>平台负责"不发起危险动作 + 危险现场必停"； 本体的急停回路、安全 PLC 由机器人厂商负责（docs/07 §4）。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