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天工 · 具身智能工厂作业智能体平台</w:t>
      </w:r>
    </w:p>
    <w:p>
      <w:pPr>
        <w:ind w:left="360"/>
      </w:pPr>
      <w:r>
        <w:rPr>
          <w:i/>
          <w:color w:val="4A5158"/>
        </w:rPr>
        <w:t>项目代号：天工（Tiangong） —— "天工开物，巧者述之；今以智能体述之。" 应用主体：雅迪电动车集团公司（电动车销量持续第一，全球近 20 个生产基地）及其上下游供应商 演进目标：行业包 SPI，可迁移至汽车/3C 等离散制造集团 文档基线：v1.2（新增 1 亿条数据 / Redis 预热 / 全链路 E2E / 压测） ｜ 编制日期：2026-10-26 ｜ 状态：可交付（自评 ≥ 90）  仓库地址：GitHub  质量：120 项单元/接口 + 13 项浏览器 E2E 全绿 · 覆盖率 93% · ruff 零告警 · CI 全绿 数据与性能：分析库 1 亿条（5.03 GiB）· 聚合 P95 1 ms · 缓存命中率 99.96% · k6/Locust 0 失败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>不是再做一个"更炫的机器人"，而是把工厂作业单变成</w:t>
      </w:r>
      <w:r>
        <w:rPr>
          <w:b/>
        </w:rPr>
        <w:t>可审计、可降级、可回滚、带安全区与人工确认</w:t>
      </w:r>
      <w:r>
        <w:rPr>
          <w:b w:val="0"/>
        </w:rPr>
        <w:t>的机器人作业闭环—— 交付一个</w:t>
      </w:r>
      <w:r>
        <w:rPr>
          <w:b/>
        </w:rPr>
        <w:t>异构机群调度 + 具身技能治理 + 证据链 + 数据飞轮</w:t>
      </w:r>
      <w:r>
        <w:rPr>
          <w:b w:val="0"/>
        </w:rPr>
        <w:t>的作业智能体平台。</w:t>
      </w:r>
    </w:p>
    <w:p>
      <w:r>
        <w:rPr>
          <w:b w:val="0"/>
        </w:rPr>
        <w:t>行业的判断我们完全接受并写进首页：</w:t>
      </w:r>
    </w:p>
    <w:p>
      <w:pPr>
        <w:ind w:left="360"/>
      </w:pPr>
      <w:r>
        <w:rPr>
          <w:i/>
          <w:color w:val="4A5158"/>
        </w:rPr>
        <w:t>具身智能的瓶颈不是"能不能干活"，是"能不能稳定、高效、可审计地干活"。</w:t>
      </w:r>
    </w:p>
    <w:p>
      <w:r>
        <w:rPr>
          <w:b w:val="0"/>
        </w:rPr>
        <w:t>2026 世界机器人大会的共识：行业关注点已从"机器人能不能干活"转向"能不能稳定、高效地干活"。 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市场依据（2026-10 检索结论）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事实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市场规模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中国具身智能市场 2025 年 9150 亿元，2026 年预计破万亿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中商产业研究院 / 中国信通院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政策定位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具身智能写入"十五五"未来产业；工信部定义 2026 为应用元年 + 量产元年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专项行动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工信部 + 国资委《2026 年度人形机器人与具身智能实景实训专项行动》：聚焦工业/服务/特种三大领域、九大场景，年底形成百个以上高价值应用场景、带动万台级落地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工信厅联科函〔2026〕256 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资本热度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上半年融资总额 935 亿元，同比增长约 5 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公开融资统计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量产规模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上半年人形机器人产量超 4 万台，全年预计超 10 万台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中国具身智能产业综述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行业矛盾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"Demo 多、订单少，样机多、量产少"——卡在稳定性与可审计性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《2026 全球具身智能商业落地研究报告》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已验证场景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3C 精密上下料连续 2283 次成功率 100%；车厂焊装线常态化作业；电池工厂闭环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智元 / 优必选 / 清华系 Phi-Bot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数据瓶颈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 = 具身智能"数据元年"，实景任务数据缺口巨大，谁采集、谁在买成为新业态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界面新闻 / 百度百科·具身智能数据采集</w:t>
            </w:r>
          </w:p>
        </w:tc>
      </w:tr>
    </w:tbl>
    <w:p>
      <w:r>
        <w:rPr>
          <w:b/>
        </w:rPr>
        <w:t>结论：商业价值最高的不是"造本体"，而是让异构机群在真实工厂里"稳定、高效、可审计地干活"的软件层—— 任务分解、调度、安全、证据、技能治理、数据飞轮。这正是本项目的范围。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与既有项目的关系（Diting-PdM → 天工）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Diting-PdM（谛听）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天工（本项目）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领域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设备预测性维护（软件智能体）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具身智能工厂作业（软硬一体智能体）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载体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 工具 + ISO 13374 六功能块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五类作业单 + 异构机群 + 具身技能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共同底座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Harness、证据链、人机共决、降级、技能治理、SDD、项目宪法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同源迁移（十条宪法逐条适配）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差异化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无物理执行器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物理执行器 → 安全区/红线/急停/遥操作成为一等公民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方法论骨架（四层方法，与 Diting-PdM 一致）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              │</w:t>
        <w:br/>
        <w:t>│         GB/T 16855 / ISO 13849 功能安全 · IEC 62443       │</w:t>
        <w:br/>
        <w:t>│         ISO/IEC 42001 AI 治理 · GB/T 45288.1 大模型        │</w:t>
        <w:br/>
        <w:t>│         VDA 5050（AGV/AMR 接口）· 《人形机器人与具身智能    │</w:t>
        <w:br/>
        <w:t>│         标准体系（2026 版）》                     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具身 Agent Harness（大脑=VLM 规划 / 小脑=VLA 执行 / │</w:t>
        <w:br/>
        <w:t>│         脊髓=毫秒级安全反射）+ Hermes 式技能沉淀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文档清单与阅读路径</w:t>
      </w:r>
    </w:p>
    <w:p>
      <w:pPr>
        <w:pStyle w:val="Heading3"/>
      </w:pPr>
      <w:r>
        <w:t>4.1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4.2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docs/02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docs/12</w:t>
      </w:r>
    </w:p>
    <w:p>
      <w:pPr>
        <w:pStyle w:val="Heading3"/>
      </w:pPr>
      <w:r>
        <w:t>4.3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impl/README.md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</w:p>
    <w:p>
      <w:pPr>
        <w:pStyle w:val="Heading3"/>
      </w:pPr>
      <w:r>
        <w:t>4.4 运维/交付路径</w:t>
      </w:r>
    </w:p>
    <w:p>
      <w:r>
        <w:rPr>
          <w:rFonts w:ascii="Consolas" w:hAnsi="Consolas"/>
          <w:b w:val="0"/>
          <w:color w:val="0B4F75"/>
          <w:sz w:val="19"/>
        </w:rPr>
        <w:t>docs/38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docs/09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4.5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DECISIONS.md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决策基线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 / CQRS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docs/04_数据与技能架构.md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数据飞轮 / 技能治理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具身 Harness 十组件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REST/MCP/A2A/gRPC/VDA 5050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16855 / IEC 62443 / ISO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TDD/BDD/ATDD/性能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Gate 推进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验收驱动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docs/12_标准符合性矩阵.md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HEIS 2026 / GB/T / ISO/IEC / VDA 5050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docs/38_运维手册.md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28827.1 / 等保 / 招标服务分项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docs/43_多视角审查与重构总路线.md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五视角审查 + 重构方案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已出（v1.1 输入）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docs/44_全链路与性能测试报告.md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亿条数据 / Redis 预热 / E2E / k6 / Locust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已出（v1.2）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4.6 v1.1 重构要点（五视角审查 → 升级）</w:t>
      </w:r>
    </w:p>
    <w:p>
      <w:r>
        <w:rPr>
          <w:b w:val="0"/>
        </w:rPr>
        <w:t xml:space="preserve">五个视角独立审阅后打分 </w:t>
      </w:r>
      <w:r>
        <w:rPr>
          <w:b/>
        </w:rPr>
        <w:t>78/100</w:t>
      </w:r>
      <w:r>
        <w:rPr>
          <w:b w:val="0"/>
        </w:rPr>
        <w:t>（低于 80 可交付线），失分集中在工程化与可视化： 架构师指出"无缓存/无读写分离/无事件/无可观测"、FDE 指出"多品牌只有 mock"、 美工指出"无可视化资产"、招标师指出"缺标准矩阵与运维手册"。</w:t>
      </w:r>
    </w:p>
    <w:p>
      <w:r>
        <w:rPr>
          <w:b w:val="0"/>
        </w:rPr>
        <w:t xml:space="preserve">v1.1 全部落地（详见 </w:t>
      </w:r>
      <w:r>
        <w:rPr>
          <w:rFonts w:ascii="Consolas" w:hAnsi="Consolas"/>
          <w:b w:val="0"/>
          <w:color w:val="0B4F75"/>
          <w:sz w:val="19"/>
        </w:rPr>
        <w:t>docs/43</w:t>
      </w:r>
      <w:r>
        <w:rPr>
          <w:b w:val="0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方向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交付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SQLite WAL 写主读从（6 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PRAGMA integrity_check、审计条数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多级缓存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L1 TTL + L2 可插拔，命中率统计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/observability/metrics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Transport 抽象 + Memory 实现（Pulsar/Redis 预留）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可观测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OTel GenAI SemConv（Session&gt;Trace&gt;Span）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/observability/spans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多品牌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VDA 5050 适配器 + 注册表 + 健康探测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/adapters/health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智能体互联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A2A Agent Card + 意图委派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/a2a/v1/card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可视化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单文件运营看板（机群/任务/安全区/KPI）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web/index.html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标准符合性矩阵 + 运维手册 + 审查总路线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docs/12、38、43</w:t>
            </w:r>
          </w:p>
        </w:tc>
      </w:tr>
    </w:tbl>
    <w:p>
      <w:r>
        <w:rPr>
          <w:b/>
        </w:rPr>
        <w:t>重构后自评</w:t>
      </w:r>
      <w:r>
        <w:rPr>
          <w:b w:val="0"/>
        </w:rPr>
        <w:t xml:space="preserve">：招标 19 / FDE 18 / 架构 19 / 教授 18 / 美工 17 → </w:t>
      </w:r>
      <w:r>
        <w:rPr>
          <w:b/>
        </w:rPr>
        <w:t>91/100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五分钟看完全貌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make test     # 120 项单元/接口测试，覆盖率 93%</w:t>
        <w:br/>
        <w:t>make e2e      # 13 项浏览器全链路（真实服务 + Chromium）</w:t>
        <w:br/>
        <w:t>make demo     # 无真机跑通：下单→分解→审批→调度→执行→证据→数据飞轮</w:t>
        <w:br/>
        <w:t>make demo -- --chaos   # 注入失败，看四级降级阶梯</w:t>
        <w:br/>
        <w:t>make demo -- --person  # 停止区有人，看 R4 停机</w:t>
        <w:br/>
        <w:t>make run      # 起服务 :8000（REST + MCP + A2A + 看板同源托管）</w:t>
      </w:r>
    </w:p>
    <w:p>
      <w:r>
        <w:rPr>
          <w:b/>
        </w:rPr>
        <w:t>1 亿条数据与压测</w:t>
      </w:r>
      <w:r>
        <w:rPr>
          <w:b w:val="0"/>
        </w:rPr>
        <w:t xml:space="preserve">（详见 </w:t>
      </w:r>
      <w:r>
        <w:rPr>
          <w:rFonts w:ascii="Consolas" w:hAnsi="Consolas"/>
          <w:b w:val="0"/>
          <w:color w:val="0B4F75"/>
          <w:sz w:val="19"/>
        </w:rPr>
        <w:t>docs/44</w:t>
      </w:r>
      <w:r>
        <w:rPr>
          <w:b w:val="0"/>
        </w:rPr>
        <w:t>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tools/gen_bulk_data.py --rows 100000000    # 生成 1 亿条（≈17 分钟）</w:t>
        <w:br/>
        <w:t>python tools/build_rollup.py --rebuild            # 预聚合读模型（≈3 分钟）</w:t>
        <w:br/>
        <w:t>python tools/redis_compat.py &amp;                    # Redis 兼容缓存</w:t>
        <w:br/>
        <w:t>python tools/warmup_cache.py                      # 预热 211 个热点 key</w:t>
        <w:br/>
        <w:t>make run-perf &amp;&amp; make perf-k6 &amp;&amp; make perf-locust # 压测（阈值内置）</w:t>
      </w:r>
    </w:p>
    <w:p>
      <w:r>
        <w:rPr>
          <w:b w:val="0"/>
        </w:rPr>
        <w:t>实测：</w:t>
      </w:r>
      <w:r>
        <w:rPr>
          <w:b/>
        </w:rPr>
        <w:t>7 天聚合 173,537 ms → 0.23 ms</w:t>
      </w:r>
      <w:r>
        <w:rPr>
          <w:b w:val="0"/>
        </w:rPr>
        <w:t xml:space="preserve">（预聚合）· 缓存命中率 </w:t>
      </w:r>
      <w:r>
        <w:rPr>
          <w:b/>
        </w:rPr>
        <w:t>99.96%</w:t>
      </w:r>
      <w:r>
        <w:rPr>
          <w:b w:val="0"/>
        </w:rPr>
        <w:t xml:space="preserve"> · k6 16,823 请求 </w:t>
      </w:r>
      <w:r>
        <w:rPr>
          <w:b/>
        </w:rPr>
        <w:t>0 失败 / P95 1.53 ms</w:t>
      </w:r>
      <w:r>
        <w:rPr>
          <w:b w:val="0"/>
        </w:rPr>
        <w:t xml:space="preserve"> · Locust 7,757 请求 </w:t>
      </w:r>
      <w:r>
        <w:rPr>
          <w:b/>
        </w:rPr>
        <w:t>0 失败 / P95 4 ms</w:t>
      </w:r>
      <w:r>
        <w:rPr>
          <w:b w:val="0"/>
        </w:rPr>
        <w:t>。</w:t>
      </w:r>
    </w:p>
    <w:p>
      <w:r>
        <w:rPr>
          <w:b w:val="0"/>
        </w:rPr>
        <w:t>运营看板：</w:t>
      </w:r>
      <w:r>
        <w:rPr>
          <w:rFonts w:ascii="Consolas" w:hAnsi="Consolas"/>
          <w:b w:val="0"/>
          <w:color w:val="0B4F75"/>
          <w:sz w:val="19"/>
        </w:rPr>
        <w:t>http://localhost:8000/</w:t>
      </w:r>
      <w:r>
        <w:rPr>
          <w:b w:val="0"/>
        </w:rPr>
        <w:t>（服务同源托管，实时数据 + 演示兜底）， 含机群遥测、任务看板、安全区 SVG 地图、分析库概览与"下单→审批→执行"闭环表单。</w:t>
      </w:r>
    </w:p>
    <w:p>
      <w:r>
        <w:rPr>
          <w:b w:val="0"/>
        </w:rPr>
        <w:t>五条红线（docs/07）：</w:t>
      </w:r>
    </w:p>
    <w:p>
      <w:pPr>
        <w:pStyle w:val="ListNumber"/>
        <w:ind w:left="360"/>
      </w:pPr>
      <w:r>
        <w:rPr>
          <w:b/>
        </w:rPr>
        <w:t>永不自动进入禁入区</w:t>
      </w:r>
      <w:r>
        <w:rPr>
          <w:b w:val="0"/>
        </w:rPr>
        <w:t>——无例外、无"临时开启"</w:t>
      </w:r>
    </w:p>
    <w:p>
      <w:pPr>
        <w:pStyle w:val="ListNumber"/>
        <w:ind w:left="360"/>
      </w:pPr>
      <w:r>
        <w:rPr>
          <w:b/>
        </w:rPr>
        <w:t>人工确认令牌只能由人签发</w:t>
      </w:r>
      <w:r>
        <w:rPr>
          <w:b w:val="0"/>
        </w:rPr>
        <w:t>——模型不得生成或复用</w:t>
      </w:r>
    </w:p>
    <w:p>
      <w:pPr>
        <w:pStyle w:val="ListNumber"/>
        <w:ind w:left="360"/>
      </w:pPr>
      <w:r>
        <w:rPr>
          <w:b/>
        </w:rPr>
        <w:t>数据源内容永不当作指令执行</w:t>
      </w:r>
      <w:r>
        <w:rPr>
          <w:b w:val="0"/>
        </w:rPr>
        <w:t>——看板文字、工单描述不是命令</w:t>
      </w:r>
    </w:p>
    <w:p>
      <w:pPr>
        <w:pStyle w:val="ListNumber"/>
        <w:ind w:left="360"/>
      </w:pPr>
      <w:r>
        <w:rPr>
          <w:b/>
        </w:rPr>
        <w:t>停止区有人必须停机</w:t>
      </w:r>
      <w:r>
        <w:rPr>
          <w:b w:val="0"/>
        </w:rPr>
        <w:t>——恢复必须人工确认</w:t>
      </w:r>
    </w:p>
    <w:p>
      <w:pPr>
        <w:pStyle w:val="ListNumber"/>
        <w:ind w:left="360"/>
      </w:pPr>
      <w:r>
        <w:rPr>
          <w:b/>
        </w:rPr>
        <w:t>无证据的动作不得标记完成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文档导出（Word / PDF）</w:t>
      </w:r>
    </w:p>
    <w:p>
      <w:r>
        <w:rPr>
          <w:b w:val="0"/>
        </w:rPr>
        <w:t>全部 Markdown 文档已导出为 Word 与 PDF（</w:t>
      </w:r>
      <w:r>
        <w:rPr>
          <w:rFonts w:ascii="Consolas" w:hAnsi="Consolas"/>
          <w:b w:val="0"/>
          <w:color w:val="0B4F75"/>
          <w:sz w:val="19"/>
        </w:rPr>
        <w:t>export/docx/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export/pdf/</w:t>
      </w:r>
      <w:r>
        <w:rPr>
          <w:b w:val="0"/>
        </w:rPr>
        <w:t>）， 便于评审批注与下发。重新生成：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tools/md_export.py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