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 · 天工可运行工程</w:t>
      </w:r>
    </w:p>
    <w:p>
      <w:pPr>
        <w:ind w:left="360"/>
      </w:pPr>
      <w:r>
        <w:rPr>
          <w:i/>
          <w:color w:val="4A5158"/>
        </w:rPr>
        <w:t>具身智能工厂作业智能体平台的最小可运行实现。 无真机可跑（MockRobotDriver 仿真机群），有真机按 contracts/proto/robot_link.proto 接， 跨品牌 AGV/AMR 走 VDA 5050（app/robots/vda5050.py）。</w:t>
      </w:r>
    </w:p>
    <w:p>
      <w:r>
        <w:rPr>
          <w:b/>
        </w:rPr>
        <w:t>状态</w:t>
      </w:r>
      <w:r>
        <w:rPr>
          <w:b w:val="0"/>
        </w:rPr>
        <w:t>：v1.2 · 120 项单元/接口 + 13 项浏览器 E2E 全绿 · 覆盖率 93% · ruff 零告警 · k6/Locust 0 失败</w:t>
      </w:r>
    </w:p>
    <w:p>
      <w:pPr>
        <w:pStyle w:val="Heading2"/>
      </w:pPr>
      <w:r>
        <w:t>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impl/</w:t>
        <w:br/>
        <w:t>├── packages/tiangong_core/     领域核（纯函数 + 不可变模型，零基础设施依赖）</w:t>
        <w:br/>
        <w:t>│   ├── models.py                数据模型（九态任务/安全区/能力画像/技能版本）</w:t>
        <w:br/>
        <w:t>│   ├── taskgraph.py             作业单 → 任务 DAG（规则规划器 + 环检测）</w:t>
        <w:br/>
        <w:t>│   ├── capability.py            能力匹配（硬门槛 + 可解释打分）</w:t>
        <w:br/>
        <w:t>│   ├── safety.py                电子围栏 + 五条红线（禁入/人工令牌/停机）</w:t>
        <w:br/>
        <w:t>│   ├── evidence.py              证据链（无证据不判完成）</w:t>
        <w:br/>
        <w:t>│   ├── lifecycle.py             九态状态机（迁移白名单）</w:t>
        <w:br/>
        <w:t>│   ├── degrade.py               降级阶梯 L1重试→L2规则→L3遥操→L4挂起</w:t>
        <w:br/>
        <w:t>│   ├── skills.py                技能治理（版本/审批/灰度/回滚）</w:t>
        <w:br/>
        <w:t>│   ├── fleet.py                 机群调度（约束 + 打分）</w:t>
        <w:br/>
        <w:t>│   ├── worldmodel.py            反事实可行性（"X 缺席还能干吗"）</w:t>
        <w:br/>
        <w:t>│   └── episode.py               数据飞轮（实景 episode 采集）</w:t>
        <w:br/>
        <w:t>├── services/agent-runtime/      REST + MCP + A2A 服务（Litestar）</w:t>
        <w:br/>
        <w:t>│   ├── app/orchestrator.py      编排闭环（内嵌 span / 事件 / 持久化插桩）</w:t>
        <w:br/>
        <w:t>│   ├── app/repository.py        CQRS 读写分离（SQLite WAL，写主读从，6 表）</w:t>
        <w:br/>
        <w:t>│   ├── app/analytics.py         分析库只读仓储（预聚合优先，明细回退）</w:t>
        <w:br/>
        <w:t>│   ├── app/cache.py             多级缓存（L1 TTL + L2 Redis，命中率统计，支持预热）</w:t>
        <w:br/>
        <w:t>│   ├── app/events.py            事件总线（Transport 抽象 + MemoryTransport）</w:t>
        <w:br/>
        <w:t>│   ├── app/otel.py              OTel GenAI SemConv（Session&gt;Trace&gt;Span）</w:t>
        <w:br/>
        <w:t>│   ├── app/memory/              Hermes 三层记忆（工作/情景/技能）</w:t>
        <w:br/>
        <w:t>│   ├── app/a2a.py               Agent Card + 意图委派</w:t>
        <w:br/>
        <w:t>│   ├── app/robots/              链路抽象 + Mock 驱动 + VDA 5050 适配器 + 注册表</w:t>
        <w:br/>
        <w:t>│   ├── app/server.py            REST API（/tg-api/v1 + /a2a/v1）</w:t>
        <w:br/>
        <w:t>│   ├── app/mcp.py               MCP 服务端（/mcp，7 工具）</w:t>
        <w:br/>
        <w:t>│   └── app/seed.py              演示厂区（脱敏合成数据）</w:t>
        <w:br/>
        <w:t>├── tests/                       120 项（44 核心 + 14 服务 + 38 重构 + 24 分析/缓存）</w:t>
        <w:br/>
        <w:t>├── tests/e2e/                   Playwright 全链路 E2E（13 项）</w:t>
        <w:br/>
        <w:t>├── tests/perf/                  k6 脚本 + Locust 场景</w:t>
        <w:br/>
        <w:t>├── contracts/proto/             真机链路 gRPC 契约</w:t>
        <w:br/>
        <w:t>├── deploy/k8s/                  部署清单</w:t>
        <w:br/>
        <w:t>└── tools/demo_run.py            演示闭环</w:t>
      </w:r>
    </w:p>
    <w:p>
      <w:pPr>
        <w:pStyle w:val="Heading2"/>
      </w:pPr>
      <w:r>
        <w:t>快速开始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0. 建虚拟环境（仓库根目录）</w:t>
        <w:br/>
        <w:t>python -m venv .venv</w:t>
        <w:br/>
        <w:t>.venv/Scripts/python.exe -m pip install -r impl/services/agent-runtime/requirements.txt ruff</w:t>
        <w:br/>
        <w:br/>
        <w:t># 1. 跑测试（无需任何硬件）</w:t>
        <w:br/>
        <w:t>cd impl &amp;&amp; make test          # 96 项</w:t>
        <w:br/>
        <w:t>make coverage                 # 覆盖率（当前 93%）</w:t>
        <w:br/>
        <w:t>make lint                     # ruff</w:t>
        <w:br/>
        <w:br/>
        <w:t># 2. 跑演示闭环</w:t>
        <w:br/>
        <w:t>make demo                     # 正常搬运</w:t>
        <w:br/>
        <w:t>make demo -- --chaos          # 注入失败，看降级阶梯</w:t>
        <w:br/>
        <w:t>make demo -- --person         # 停止区有人，看 R4 停机</w:t>
        <w:br/>
        <w:br/>
        <w:t># 3. 起服务（持久化到文件，重启不丢）</w:t>
        <w:br/>
        <w:t>TIANGONG_DB=/data/tiangong.db make run      # :8000</w:t>
        <w:br/>
        <w:t>curl localhost:8000/healthz</w:t>
        <w:br/>
        <w:t>curl localhost:8000/tg-api/v1/robots</w:t>
      </w:r>
    </w:p>
    <w:p>
      <w:pPr>
        <w:ind w:left="360"/>
      </w:pPr>
      <w:r>
        <w:rPr>
          <w:i/>
          <w:color w:val="4A5158"/>
        </w:rPr>
        <w:t>TIANGONG_DB 不设置时使用内存库（mode=memory，多连接共享）， 适合演示与测试；生产必须显式指定文件路径。</w:t>
      </w:r>
    </w:p>
    <w:p>
      <w:pPr>
        <w:pStyle w:val="Heading2"/>
      </w:pPr>
      <w:r>
        <w:t>一次完整调用（REST）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下单（PENDING，不执行）</w:t>
        <w:br/>
        <w:t>curl -X POST localhost:8000/tg-api/v1/work-orders -H 'Content-Type: application/json' -d '{</w:t>
        <w:br/>
        <w:t xml:space="preserve">  "kind": "TRANSPORT",</w:t>
        <w:br/>
        <w:t xml:space="preserve">  "params": {"from": "原料库", "to": "装配车间", "what": "电池包",</w:t>
        <w:br/>
        <w:t xml:space="preserve">             "weight_kg": 35, "x": 25, "y": 14},</w:t>
        <w:br/>
        <w:t xml:space="preserve">  "requested_by": "设备科-老周"}'</w:t>
        <w:br/>
        <w:t># → {"order_id": "WO-xxxx", "tasks": [T1 PICK, T2 TRANSPORT, T3 PLACE]}</w:t>
        <w:br/>
        <w:br/>
        <w:t># 人工审批（人确认后才可执行）</w:t>
        <w:br/>
        <w:t>curl -X POST localhost:8000/tg-api/v1/work-orders/WO-xxxx/approve \</w:t>
        <w:br/>
        <w:t xml:space="preserve">     -H 'Content-Type: application/json' -d '{"approved_by": "老周"}'</w:t>
        <w:br/>
        <w:br/>
        <w:t># 执行（返回证据链 + 降级状态）</w:t>
        <w:br/>
        <w:t>curl -X POST localhost:8000/tg-api/v1/work-orders/WO-xxxx/run \</w:t>
        <w:br/>
        <w:t xml:space="preserve">     -H 'Content-Type: application/json' -d '{}'</w:t>
      </w:r>
    </w:p>
    <w:p>
      <w:pPr>
        <w:pStyle w:val="Heading2"/>
      </w:pPr>
      <w:r>
        <w:t>接口一览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端点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基础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/healthz、GET /version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机群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/tg-api/v1/robots、GET /tg-api/v1/zones、POST /robots/{id}/estop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作业单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/work-orders、POST /work-orders/{id}/approve、POST /work-orders/{id}/run、GET /work-orders[/{id}]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/skills/{id}/versions、POST .../versions/{v}/approve、POST /skills/{id}/rollback、GET /skills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令牌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/tg-api/v1/tokens（仅人调用）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飞轮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/tg-api/v1/episodes/stats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观测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/observability/spans?trace_id=、GET /observability/metrics、GET /events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/adapters/health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/audit?limit=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互联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/a2a/v1/card、POST /a2a/v1/tasks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MCP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/mcp（initialize / tools/list / tools/call，7 工具）</w:t>
            </w:r>
          </w:p>
        </w:tc>
      </w:tr>
    </w:tbl>
    <w:p>
      <w:pPr>
        <w:pStyle w:val="Heading2"/>
      </w:pPr>
      <w:r>
        <w:t>安全要点（与宪法一致）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禁入区目标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动作拒绝（R1），任务 ABORTED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&gt;50kg 或危险动作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必须人工令牌（R2），模型不得自签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停止区有人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停机（R4），任务 FAILED 待人工确认后重试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证据不全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不得 DONE（打回重做）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技能变更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审批 → 灰度 → 可回滚（四态）</w:t>
            </w:r>
          </w:p>
        </w:tc>
      </w:tr>
    </w:tbl>
    <w:p>
      <w:pPr>
        <w:ind w:left="360"/>
      </w:pPr>
      <w:r>
        <w:rPr>
          <w:i/>
          <w:color w:val="4A5158"/>
        </w:rPr>
        <w:t>红线与令牌不进缓存：安全判定永远实时（docs/03 A10）。</w:t>
      </w:r>
    </w:p>
    <w:p>
      <w:pPr>
        <w:pStyle w:val="Heading2"/>
      </w:pPr>
      <w:r>
        <w:t>工程能力（v1.1）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运维观测点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repository.py（写主/读从，WAL）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PRAGMA integrity_check、审计条数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多级缓存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cache.py（L1 TTL + L2 可插拔）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metrics.cache.hit_rate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events.py（可换 Pulsar/Redis）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events.stats.failed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链路追踪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otel.py（GenAI 语义属性）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metrics.spans_error、p95_ms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多品牌适配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robots/vda5050.py + 注册表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adapters/health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三层记忆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memory/（工作/情景/技能）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情景索引按技能聚合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智能体互联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a2a.py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Card 能力声明</w:t>
            </w:r>
          </w:p>
        </w:tc>
      </w:tr>
    </w:tbl>
    <w:p>
      <w:pPr>
        <w:pStyle w:val="Heading2"/>
      </w:pPr>
      <w:r>
        <w:t>接真机</w:t>
      </w:r>
    </w:p>
    <w:p>
      <w:pPr>
        <w:pStyle w:val="ListNumber"/>
        <w:ind w:left="360"/>
      </w:pPr>
      <w:r>
        <w:rPr>
          <w:b w:val="0"/>
        </w:rPr>
        <w:t xml:space="preserve">按 </w:t>
      </w:r>
      <w:r>
        <w:rPr>
          <w:rFonts w:ascii="Consolas" w:hAnsi="Consolas"/>
          <w:b w:val="0"/>
          <w:sz w:val="19"/>
        </w:rPr>
        <w:t>contracts/proto/robot_link.proto</w:t>
      </w:r>
      <w:r>
        <w:rPr>
          <w:b w:val="0"/>
        </w:rPr>
        <w:t xml:space="preserve"> 实现厂商 adapter（gRPC 服务端跑在机器人或网关上）；</w:t>
      </w:r>
    </w:p>
    <w:p>
      <w:pPr>
        <w:pStyle w:val="ListNumber"/>
        <w:ind w:left="360"/>
      </w:pPr>
      <w:r>
        <w:rPr>
          <w:b w:val="0"/>
        </w:rPr>
        <w:t xml:space="preserve">跨品牌 AGV/AMR 用 </w:t>
      </w:r>
      <w:r>
        <w:rPr>
          <w:rFonts w:ascii="Consolas" w:hAnsi="Consolas"/>
          <w:b w:val="0"/>
          <w:sz w:val="19"/>
        </w:rPr>
        <w:t>VDA5050Adapter</w:t>
      </w:r>
      <w:r>
        <w:rPr>
          <w:b w:val="0"/>
        </w:rPr>
        <w:t xml:space="preserve">（MQTT 主题 </w:t>
      </w:r>
      <w:r>
        <w:rPr>
          <w:rFonts w:ascii="Consolas" w:hAnsi="Consolas"/>
          <w:b w:val="0"/>
          <w:sz w:val="19"/>
        </w:rPr>
        <w:t>uagv/v2/{manufacturer}/{serial}/order|instantAction|state</w:t>
      </w:r>
      <w:r>
        <w:rPr>
          <w:b w:val="0"/>
        </w:rPr>
        <w:t>）；</w:t>
      </w:r>
    </w:p>
    <w:p>
      <w:pPr>
        <w:pStyle w:val="ListNumber"/>
        <w:ind w:left="360"/>
      </w:pPr>
      <w:r>
        <w:rPr>
          <w:b w:val="0"/>
        </w:rPr>
        <w:t xml:space="preserve">在 </w:t>
      </w:r>
      <w:r>
        <w:rPr>
          <w:rFonts w:ascii="Consolas" w:hAnsi="Consolas"/>
          <w:b w:val="0"/>
          <w:sz w:val="19"/>
        </w:rPr>
        <w:t>app/robots/</w:t>
      </w:r>
      <w:r>
        <w:rPr>
          <w:b w:val="0"/>
        </w:rPr>
        <w:t xml:space="preserve"> 新增实现 </w:t>
      </w:r>
      <w:r>
        <w:rPr>
          <w:rFonts w:ascii="Consolas" w:hAnsi="Consolas"/>
          <w:b w:val="0"/>
          <w:sz w:val="19"/>
        </w:rPr>
        <w:t>base.RobotLink</w:t>
      </w:r>
      <w:r>
        <w:rPr>
          <w:b w:val="0"/>
        </w:rPr>
        <w:t xml:space="preserve"> 协议的类，注册进 </w:t>
      </w:r>
      <w:r>
        <w:rPr>
          <w:rFonts w:ascii="Consolas" w:hAnsi="Consolas"/>
          <w:b w:val="0"/>
          <w:sz w:val="19"/>
        </w:rPr>
        <w:t>AdapterRegistry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app/state.py</w:t>
      </w:r>
      <w:r>
        <w:rPr>
          <w:b w:val="0"/>
        </w:rPr>
        <w:t xml:space="preserve"> 换装配——</w:t>
      </w:r>
      <w:r>
        <w:rPr>
          <w:b/>
        </w:rPr>
        <w:t>不动核心包与服务逻辑</w:t>
      </w:r>
      <w:r>
        <w:rPr>
          <w:b w:val="0"/>
        </w:rPr>
        <w:t>（宪法第九条）。</w:t>
      </w:r>
    </w:p>
    <w:p>
      <w:pPr>
        <w:pStyle w:val="Heading2"/>
      </w:pPr>
      <w:r>
        <w:t>相关文档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架构 ·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接口 ·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测试 · </w:t>
      </w:r>
      <w:r>
        <w:rPr>
          <w:rFonts w:ascii="Consolas" w:hAnsi="Consolas"/>
          <w:b w:val="0"/>
          <w:color w:val="0B4F75"/>
          <w:sz w:val="19"/>
        </w:rPr>
        <w:t>docs/09</w:t>
      </w:r>
      <w:r>
        <w:rPr>
          <w:b w:val="0"/>
        </w:rPr>
        <w:t xml:space="preserve"> DevOps · </w:t>
      </w:r>
      <w:r>
        <w:rPr>
          <w:rFonts w:ascii="Consolas" w:hAnsi="Consolas"/>
          <w:b w:val="0"/>
          <w:color w:val="0B4F75"/>
          <w:sz w:val="19"/>
        </w:rPr>
        <w:t>docs/38</w:t>
      </w:r>
      <w:r>
        <w:rPr>
          <w:b w:val="0"/>
        </w:rPr>
        <w:t xml:space="preserve"> 运维手册 · </w:t>
      </w:r>
      <w:r>
        <w:rPr>
          <w:rFonts w:ascii="Consolas" w:hAnsi="Consolas"/>
          <w:b w:val="0"/>
          <w:color w:val="0B4F75"/>
          <w:sz w:val="19"/>
        </w:rPr>
        <w:t>docs/43</w:t>
      </w:r>
      <w:r>
        <w:rPr>
          <w:b w:val="0"/>
        </w:rPr>
        <w:t xml:space="preserve"> 审查与重构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