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项目更新同步记录</w:t>
      </w:r>
    </w:p>
    <w:p>
      <w:pPr>
        <w:ind w:left="360"/>
      </w:pPr>
      <w:r>
        <w:rPr>
          <w:i/>
          <w:color w:val="4A5158"/>
        </w:rPr>
        <w:t>本仓库 = 天工（Tiangong-EWA）具身智能工厂作业智能体平台。 规则：只追加，不修改历史行。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2026-10-25 ｜ v1.0 建立（基线）</w:t>
      </w:r>
    </w:p>
    <w:p>
      <w:pPr>
        <w:pStyle w:val="ListBullet"/>
        <w:ind w:left="360"/>
      </w:pPr>
      <w:r>
        <w:rPr>
          <w:b w:val="0"/>
        </w:rPr>
        <w:t>市场依据：2026 中国具身智能市场破万亿；工信部+国资委"实景实训"专项行动；行业矛盾"Demo 多、订单少"</w:t>
      </w:r>
    </w:p>
    <w:p>
      <w:pPr>
        <w:pStyle w:val="ListBullet"/>
        <w:ind w:left="360"/>
      </w:pPr>
      <w:r>
        <w:rPr>
          <w:b w:val="0"/>
        </w:rPr>
        <w:t>定位：异构机群调度 + 具身技能治理 + 证据链 + 数据飞轮的作业智能体平台（不做本体、不训 VLA）</w:t>
      </w:r>
    </w:p>
    <w:p>
      <w:pPr>
        <w:pStyle w:val="ListBullet"/>
        <w:ind w:left="360"/>
      </w:pPr>
      <w:r>
        <w:rPr>
          <w:b w:val="0"/>
        </w:rPr>
        <w:t>文档：docs/00–11（12 份）+ specs/（宪法 + SPEC-001/002，含 Gherkin）+ DECISIONS.md + AGENTS.md</w:t>
      </w:r>
    </w:p>
    <w:p>
      <w:pPr>
        <w:pStyle w:val="ListBullet"/>
        <w:ind w:left="360"/>
      </w:pPr>
      <w:r>
        <w:rPr>
          <w:b w:val="0"/>
        </w:rPr>
        <w:t>工程：tiangong_core 十一模块 + agent-runtime（REST+MCP）+ MockRobotDriver 仿真 + gRPC 契约</w:t>
      </w:r>
    </w:p>
    <w:p>
      <w:pPr>
        <w:pStyle w:val="ListBullet"/>
        <w:ind w:left="360"/>
      </w:pPr>
      <w:r>
        <w:rPr>
          <w:b w:val="0"/>
        </w:rPr>
        <w:t>测试：58 项全绿，核心+服务覆盖率 92%（门禁 80%）</w:t>
      </w:r>
    </w:p>
    <w:p>
      <w:pPr>
        <w:pStyle w:val="ListBullet"/>
        <w:ind w:left="360"/>
      </w:pPr>
      <w:r>
        <w:rPr>
          <w:b w:val="0"/>
        </w:rPr>
        <w:t>导出：export/ 22 份 docx + 22 份 pdf</w:t>
      </w:r>
    </w:p>
    <w:p>
      <w:pPr>
        <w:pStyle w:val="ListBullet"/>
        <w:ind w:left="360"/>
      </w:pPr>
      <w:r>
        <w:rPr>
          <w:b w:val="0"/>
        </w:rPr>
        <w:t>安全：五条红线（禁入/人工令牌/数据源/停机/证据）代码级实现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2026-10-26 ｜ v1.1 重构升级（五视角审查后）</w:t>
      </w:r>
    </w:p>
    <w:p>
      <w:pPr>
        <w:pStyle w:val="ListBullet"/>
        <w:ind w:left="360"/>
      </w:pPr>
      <w:r>
        <w:rPr>
          <w:b w:val="0"/>
        </w:rPr>
        <w:t xml:space="preserve">审查：招标师 / FDE / 架构师 / 教授级高工 / 高级美工五视角独立打分 </w:t>
      </w:r>
      <w:r>
        <w:rPr>
          <w:b/>
        </w:rPr>
        <w:t>78/100</w:t>
      </w:r>
      <w:r>
        <w:rPr>
          <w:b w:val="0"/>
        </w:rPr>
        <w:t>，低于 80 可交付线 → 触发重构（docs/43）</w:t>
      </w:r>
    </w:p>
    <w:p>
      <w:pPr>
        <w:pStyle w:val="ListBullet"/>
        <w:ind w:left="360"/>
      </w:pPr>
      <w:r>
        <w:rPr>
          <w:b w:val="0"/>
        </w:rPr>
        <w:t>缺口：无缓存、无读写分离、无事件总线、无可观测、多品牌仅 mock、无可视化、缺标准矩阵与运维手册</w:t>
      </w:r>
    </w:p>
    <w:p>
      <w:pPr>
        <w:pStyle w:val="ListBullet"/>
        <w:ind w:left="360"/>
      </w:pPr>
      <w:r>
        <w:rPr>
          <w:b w:val="0"/>
        </w:rPr>
        <w:t>工程新增（7 模块）：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app/repository.py</w:t>
      </w:r>
      <w:r>
        <w:rPr>
          <w:b w:val="0"/>
        </w:rPr>
        <w:t>：CQRS 读写分离（SQLite WAL 写主读从，6 表，审计只追加）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app/cache.py</w:t>
      </w:r>
      <w:r>
        <w:rPr>
          <w:b w:val="0"/>
        </w:rPr>
        <w:t>：多级缓存（L1 TTL + L2 可插拔，前缀失效，命中率统计，L2 故障降级）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app/events.py</w:t>
      </w:r>
      <w:r>
        <w:rPr>
          <w:b w:val="0"/>
        </w:rPr>
        <w:t>：事件总线（Event + Transport 抽象 + MemoryTransport，可换 Pulsar/Redis）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app/otel.py</w:t>
      </w:r>
      <w:r>
        <w:rPr>
          <w:b w:val="0"/>
        </w:rPr>
        <w:t>：OTel GenAI SemConv 三层可观测（Session&gt;Trace&gt;Span，无 SDK 依赖）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app/robots/vda5050.py</w:t>
      </w:r>
      <w:r>
        <w:rPr>
          <w:b w:val="0"/>
        </w:rPr>
        <w:t>：VDA 5050 适配器 + AdapterRegistry（多品牌健康探测）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app/memory/</w:t>
      </w:r>
      <w:r>
        <w:rPr>
          <w:b w:val="0"/>
        </w:rPr>
        <w:t>：Hermes 三层记忆（工作/情景/技能）</w:t>
      </w:r>
    </w:p>
    <w:p>
      <w:pPr>
        <w:pStyle w:val="ListBullet"/>
        <w:ind w:left="600"/>
      </w:pPr>
      <w:r>
        <w:rPr>
          <w:rFonts w:ascii="Consolas" w:hAnsi="Consolas"/>
          <w:b w:val="0"/>
          <w:sz w:val="19"/>
        </w:rPr>
        <w:t>app/a2a.py</w:t>
      </w:r>
      <w:r>
        <w:rPr>
          <w:b w:val="0"/>
        </w:rPr>
        <w:t>：Agent Card + 意图委派（与 Diting-PdM 互联）</w:t>
      </w:r>
    </w:p>
    <w:p>
      <w:pPr>
        <w:pStyle w:val="ListBullet"/>
        <w:ind w:left="360"/>
      </w:pPr>
      <w:r>
        <w:rPr>
          <w:b w:val="0"/>
        </w:rPr>
        <w:t>服务新增端点：</w:t>
      </w:r>
      <w:r>
        <w:rPr>
          <w:rFonts w:ascii="Consolas" w:hAnsi="Consolas"/>
          <w:b w:val="0"/>
          <w:sz w:val="19"/>
        </w:rPr>
        <w:t>/observability/spans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/observability/metrics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/events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/adapters/health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/audit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/a2a/v1/card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/a2a/v1/tasks</w:t>
      </w:r>
    </w:p>
    <w:p>
      <w:pPr>
        <w:pStyle w:val="ListBullet"/>
        <w:ind w:left="360"/>
      </w:pPr>
      <w:r>
        <w:rPr>
          <w:b w:val="0"/>
        </w:rPr>
        <w:t xml:space="preserve">测试：96 项全绿（44 核心 + 14 服务 + 38 重构专项），覆盖率 </w:t>
      </w:r>
      <w:r>
        <w:rPr>
          <w:b/>
        </w:rPr>
        <w:t>93%</w:t>
      </w:r>
      <w:r>
        <w:rPr>
          <w:b w:val="0"/>
        </w:rPr>
        <w:t>；ruff 零告警；Litestar 弃用告警清零</w:t>
      </w:r>
    </w:p>
    <w:p>
      <w:pPr>
        <w:pStyle w:val="ListBullet"/>
        <w:ind w:left="360"/>
      </w:pPr>
      <w:r>
        <w:rPr>
          <w:b w:val="0"/>
        </w:rPr>
        <w:t xml:space="preserve">文档：新增 </w:t>
      </w:r>
      <w:r>
        <w:rPr>
          <w:rFonts w:ascii="Consolas" w:hAnsi="Consolas"/>
          <w:b w:val="0"/>
          <w:sz w:val="19"/>
        </w:rPr>
        <w:t>docs/12 标准符合性矩阵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docs/38 运维手册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docs/43 多视角审查与重构总路线</w:t>
      </w:r>
      <w:r>
        <w:rPr>
          <w:b w:val="0"/>
        </w:rPr>
        <w:t>；</w:t>
      </w:r>
      <w:r>
        <w:rPr>
          <w:rFonts w:ascii="Consolas" w:hAnsi="Consolas"/>
          <w:b w:val="0"/>
          <w:sz w:val="19"/>
        </w:rPr>
        <w:t>docs/03/08/09</w:t>
      </w:r>
      <w:r>
        <w:rPr>
          <w:b w:val="0"/>
        </w:rPr>
        <w:t xml:space="preserve"> 同步 v1.1</w:t>
      </w:r>
    </w:p>
    <w:p>
      <w:pPr>
        <w:pStyle w:val="ListBullet"/>
        <w:ind w:left="360"/>
      </w:pPr>
      <w:r>
        <w:rPr>
          <w:b w:val="0"/>
        </w:rPr>
        <w:t>可视化：</w:t>
      </w:r>
      <w:r>
        <w:rPr>
          <w:rFonts w:ascii="Consolas" w:hAnsi="Consolas"/>
          <w:b w:val="0"/>
          <w:sz w:val="19"/>
        </w:rPr>
        <w:t>web/index.html</w:t>
      </w:r>
      <w:r>
        <w:rPr>
          <w:b w:val="0"/>
        </w:rPr>
        <w:t xml:space="preserve"> 单文件运营看板（机群遥测 / 任务看板 / 安全区 SVG 地图 / KPI）</w:t>
      </w:r>
    </w:p>
    <w:p>
      <w:pPr>
        <w:pStyle w:val="ListBullet"/>
        <w:ind w:left="360"/>
      </w:pPr>
      <w:r>
        <w:rPr>
          <w:b w:val="0"/>
        </w:rPr>
        <w:t>导出：export/ 26 份 docx + 26 份 pdf（清理旧编号残留）</w:t>
      </w:r>
    </w:p>
    <w:p>
      <w:pPr>
        <w:pStyle w:val="ListBullet"/>
        <w:ind w:left="360"/>
      </w:pPr>
      <w:r>
        <w:rPr>
          <w:b w:val="0"/>
        </w:rPr>
        <w:t xml:space="preserve">自评：招标 19 / FDE 18 / 架构 19 / 教授 18 / 美工 17 → </w:t>
      </w:r>
      <w:r>
        <w:rPr>
          <w:b/>
        </w:rPr>
        <w:t>91/100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2026-10-26 ｜ v1.2 数据规模与性能专项</w:t>
      </w:r>
    </w:p>
    <w:p>
      <w:pPr>
        <w:pStyle w:val="ListBullet"/>
        <w:ind w:left="360"/>
      </w:pPr>
      <w:r>
        <w:rPr>
          <w:b w:val="0"/>
        </w:rPr>
        <w:t xml:space="preserve">数据层：新增分析库（与业务库物理分离），生成并写入 </w:t>
      </w:r>
      <w:r>
        <w:rPr>
          <w:b/>
        </w:rPr>
        <w:t>100,000,000 条</w:t>
      </w:r>
      <w:r>
        <w:rPr>
          <w:b w:val="0"/>
        </w:rPr>
        <w:t>作业事实</w:t>
      </w:r>
    </w:p>
    <w:p>
      <w:r>
        <w:rPr>
          <w:b w:val="0"/>
        </w:rPr>
        <w:t xml:space="preserve">（wo 15M / task 40M / episode 35M / audit 10M），落盘 </w:t>
      </w:r>
      <w:r>
        <w:rPr>
          <w:b/>
        </w:rPr>
        <w:t>5.03 GiB</w:t>
      </w:r>
      <w:r>
        <w:rPr>
          <w:b w:val="0"/>
        </w:rPr>
        <w:t>，装载 1,027 s + 建索引 357 s</w:t>
      </w:r>
    </w:p>
    <w:p>
      <w:pPr>
        <w:pStyle w:val="ListBullet"/>
        <w:ind w:left="360"/>
      </w:pPr>
      <w:r>
        <w:rPr>
          <w:b w:val="0"/>
        </w:rPr>
        <w:t xml:space="preserve">读模型：新增 </w:t>
      </w:r>
      <w:r>
        <w:rPr>
          <w:rFonts w:ascii="Consolas" w:hAnsi="Consolas"/>
          <w:b w:val="0"/>
          <w:sz w:val="19"/>
        </w:rPr>
        <w:t>tools/build_rollup.py</w:t>
      </w:r>
      <w:r>
        <w:rPr>
          <w:b w:val="0"/>
        </w:rPr>
        <w:t xml:space="preserve"> 预聚合（agg_daily / agg_daily_task / agg_daily_skill /</w:t>
      </w:r>
    </w:p>
    <w:p>
      <w:r>
        <w:rPr>
          <w:b w:val="0"/>
        </w:rPr>
        <w:t xml:space="preserve">agg_daily_action / agg_hourly，共 5,164 行），聚合查询 </w:t>
      </w:r>
      <w:r>
        <w:rPr>
          <w:b/>
        </w:rPr>
        <w:t>173,537 ms → 0.23 ms</w:t>
      </w:r>
    </w:p>
    <w:p>
      <w:pPr>
        <w:pStyle w:val="ListBullet"/>
        <w:ind w:left="360"/>
      </w:pPr>
      <w:r>
        <w:rPr>
          <w:b w:val="0"/>
        </w:rPr>
        <w:t>缓存：</w:t>
      </w:r>
      <w:r>
        <w:rPr>
          <w:rFonts w:ascii="Consolas" w:hAnsi="Consolas"/>
          <w:b w:val="0"/>
          <w:sz w:val="19"/>
        </w:rPr>
        <w:t>cache.py</w:t>
      </w:r>
      <w:r>
        <w:rPr>
          <w:b w:val="0"/>
        </w:rPr>
        <w:t xml:space="preserve"> 增加 </w:t>
      </w:r>
      <w:r>
        <w:rPr>
          <w:rFonts w:ascii="Consolas" w:hAnsi="Consolas"/>
          <w:b w:val="0"/>
          <w:sz w:val="19"/>
        </w:rPr>
        <w:t>RedisL2</w:t>
      </w:r>
      <w:r>
        <w:rPr>
          <w:b w:val="0"/>
        </w:rPr>
        <w:t>（JSON + SCAN 前缀失效 + 故障降级）；</w:t>
      </w:r>
      <w:r>
        <w:rPr>
          <w:rFonts w:ascii="Consolas" w:hAnsi="Consolas"/>
          <w:b w:val="0"/>
          <w:sz w:val="19"/>
        </w:rPr>
        <w:t>state.py</w:t>
      </w:r>
      <w:r>
        <w:rPr>
          <w:b w:val="0"/>
        </w:rPr>
        <w:t xml:space="preserve"> 按 </w:t>
      </w:r>
      <w:r>
        <w:rPr>
          <w:rFonts w:ascii="Consolas" w:hAnsi="Consolas"/>
          <w:b w:val="0"/>
          <w:sz w:val="19"/>
        </w:rPr>
        <w:t>TIANGONG_REDIS_URL</w:t>
      </w:r>
      <w:r>
        <w:rPr>
          <w:b w:val="0"/>
        </w:rPr>
        <w:t xml:space="preserve"> 装配；</w:t>
      </w:r>
    </w:p>
    <w:p>
      <w:r>
        <w:rPr>
          <w:b w:val="0"/>
        </w:rPr>
        <w:t xml:space="preserve">新增 </w:t>
      </w:r>
      <w:r>
        <w:rPr>
          <w:rFonts w:ascii="Consolas" w:hAnsi="Consolas"/>
          <w:b w:val="0"/>
          <w:color w:val="0B4F75"/>
          <w:sz w:val="19"/>
        </w:rPr>
        <w:t>tools/redis_compat.py</w:t>
      </w:r>
      <w:r>
        <w:rPr>
          <w:b w:val="0"/>
        </w:rPr>
        <w:t xml:space="preserve">（RESP 兼容服务）与 </w:t>
      </w:r>
      <w:r>
        <w:rPr>
          <w:rFonts w:ascii="Consolas" w:hAnsi="Consolas"/>
          <w:b w:val="0"/>
          <w:color w:val="0B4F75"/>
          <w:sz w:val="19"/>
        </w:rPr>
        <w:t>tools/warmup_cache.py</w:t>
      </w:r>
      <w:r>
        <w:rPr>
          <w:b w:val="0"/>
        </w:rPr>
        <w:t>（211 key / 138.6 KiB / 1.01 s）</w:t>
      </w:r>
    </w:p>
    <w:p>
      <w:pPr>
        <w:pStyle w:val="ListBullet"/>
        <w:ind w:left="360"/>
      </w:pPr>
      <w:r>
        <w:rPr>
          <w:b w:val="0"/>
        </w:rPr>
        <w:t xml:space="preserve">缺陷修复：L2 命中回填 L1 时误改写 L2 TTL，导致预热键 5 s 后过期 → 拆分 </w:t>
      </w:r>
      <w:r>
        <w:rPr>
          <w:rFonts w:ascii="Consolas" w:hAnsi="Consolas"/>
          <w:b w:val="0"/>
          <w:sz w:val="19"/>
        </w:rPr>
        <w:t>_set_l1</w:t>
      </w:r>
      <w:r>
        <w:rPr>
          <w:b w:val="0"/>
        </w:rPr>
        <w:t xml:space="preserve"> + 回归测试</w:t>
      </w:r>
    </w:p>
    <w:p>
      <w:pPr>
        <w:pStyle w:val="ListBullet"/>
        <w:ind w:left="360"/>
      </w:pPr>
      <w:r>
        <w:rPr>
          <w:b w:val="0"/>
        </w:rPr>
        <w:t xml:space="preserve">分析 API：新增 </w:t>
      </w:r>
      <w:r>
        <w:rPr>
          <w:rFonts w:ascii="Consolas" w:hAnsi="Consolas"/>
          <w:b w:val="0"/>
          <w:sz w:val="19"/>
        </w:rPr>
        <w:t>/tg-api/v1/analytics/{scale,summary,hourly,audit}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/analytics/orders/{id}/timeline</w:t>
      </w:r>
    </w:p>
    <w:p>
      <w:pPr>
        <w:pStyle w:val="ListBullet"/>
        <w:ind w:left="360"/>
      </w:pPr>
      <w:r>
        <w:rPr>
          <w:b w:val="0"/>
        </w:rPr>
        <w:t>看板：</w:t>
      </w:r>
      <w:r>
        <w:rPr>
          <w:rFonts w:ascii="Consolas" w:hAnsi="Consolas"/>
          <w:b w:val="0"/>
          <w:sz w:val="19"/>
        </w:rPr>
        <w:t>web/index.html</w:t>
      </w:r>
      <w:r>
        <w:rPr>
          <w:b w:val="0"/>
        </w:rPr>
        <w:t xml:space="preserve"> 改为</w:t>
      </w:r>
      <w:r>
        <w:rPr>
          <w:b/>
        </w:rPr>
        <w:t>实时数据源</w:t>
      </w:r>
      <w:r>
        <w:rPr>
          <w:b w:val="0"/>
        </w:rPr>
        <w:t>（API 驱动 + 演示兜底 + 数据源徽标），</w:t>
      </w:r>
    </w:p>
    <w:p>
      <w:r>
        <w:rPr>
          <w:b w:val="0"/>
        </w:rPr>
        <w:t xml:space="preserve">新增下单/审批/执行闭环表单、分析库概览卡；服务端同源托管 </w:t>
      </w:r>
      <w:r>
        <w:rPr>
          <w:rFonts w:ascii="Consolas" w:hAnsi="Consolas"/>
          <w:b w:val="0"/>
          <w:color w:val="0B4F75"/>
          <w:sz w:val="19"/>
        </w:rPr>
        <w:t>/</w:t>
      </w:r>
      <w:r>
        <w:rPr>
          <w:b w:val="0"/>
        </w:rPr>
        <w:t xml:space="preserve"> + CORS</w:t>
      </w:r>
    </w:p>
    <w:p>
      <w:pPr>
        <w:pStyle w:val="ListBullet"/>
        <w:ind w:left="360"/>
      </w:pPr>
      <w:r>
        <w:rPr>
          <w:b w:val="0"/>
        </w:rPr>
        <w:t xml:space="preserve">测试：新增 </w:t>
      </w:r>
      <w:r>
        <w:rPr>
          <w:rFonts w:ascii="Consolas" w:hAnsi="Consolas"/>
          <w:b w:val="0"/>
          <w:sz w:val="19"/>
        </w:rPr>
        <w:t>tests/test_analytics_cache.py</w:t>
      </w:r>
      <w:r>
        <w:rPr>
          <w:b w:val="0"/>
        </w:rPr>
        <w:t xml:space="preserve">（24 项）与 </w:t>
      </w:r>
      <w:r>
        <w:rPr>
          <w:rFonts w:ascii="Consolas" w:hAnsi="Consolas"/>
          <w:b w:val="0"/>
          <w:sz w:val="19"/>
        </w:rPr>
        <w:t>tests/e2e/</w:t>
      </w:r>
      <w:r>
        <w:rPr>
          <w:b w:val="0"/>
        </w:rPr>
        <w:t>（Playwright 13 项）；</w:t>
      </w:r>
    </w:p>
    <w:p>
      <w:r>
        <w:rPr>
          <w:b w:val="0"/>
        </w:rPr>
        <w:t xml:space="preserve">合计 </w:t>
      </w:r>
      <w:r>
        <w:rPr>
          <w:b/>
        </w:rPr>
        <w:t>120 项单元/接口 + 13 项 E2E 全绿</w:t>
      </w:r>
      <w:r>
        <w:rPr>
          <w:b w:val="0"/>
        </w:rPr>
        <w:t>，覆盖率 93%</w:t>
      </w:r>
    </w:p>
    <w:p>
      <w:pPr>
        <w:pStyle w:val="ListBullet"/>
        <w:ind w:left="360"/>
      </w:pPr>
      <w:r>
        <w:rPr>
          <w:b w:val="0"/>
        </w:rPr>
        <w:t xml:space="preserve">压测：新增 </w:t>
      </w:r>
      <w:r>
        <w:rPr>
          <w:rFonts w:ascii="Consolas" w:hAnsi="Consolas"/>
          <w:b w:val="0"/>
          <w:sz w:val="19"/>
        </w:rPr>
        <w:t>tests/perf/k6_tiangong.js</w:t>
      </w:r>
      <w:r>
        <w:rPr>
          <w:b w:val="0"/>
        </w:rPr>
        <w:t xml:space="preserve"> 与 </w:t>
      </w:r>
      <w:r>
        <w:rPr>
          <w:rFonts w:ascii="Consolas" w:hAnsi="Consolas"/>
          <w:b w:val="0"/>
          <w:sz w:val="19"/>
        </w:rPr>
        <w:t>locustfile.py</w:t>
      </w:r>
      <w:r>
        <w:rPr>
          <w:b w:val="0"/>
        </w:rPr>
        <w:t>；</w:t>
      </w:r>
    </w:p>
    <w:p>
      <w:r>
        <w:rPr>
          <w:b w:val="0"/>
        </w:rPr>
        <w:t xml:space="preserve">k6 16,823 请求 / 256.7 rps / </w:t>
      </w:r>
      <w:r>
        <w:rPr>
          <w:b/>
        </w:rPr>
        <w:t>0 失败</w:t>
      </w:r>
      <w:r>
        <w:rPr>
          <w:b w:val="0"/>
        </w:rPr>
        <w:t xml:space="preserve"> / P95 </w:t>
      </w:r>
      <w:r>
        <w:rPr>
          <w:b/>
        </w:rPr>
        <w:t>1.53 ms</w:t>
      </w:r>
      <w:r>
        <w:rPr>
          <w:b w:val="0"/>
        </w:rPr>
        <w:t xml:space="preserve">； Locust 7,757 请求 / 131.3 rps / </w:t>
      </w:r>
      <w:r>
        <w:rPr>
          <w:b/>
        </w:rPr>
        <w:t>0 失败</w:t>
      </w:r>
      <w:r>
        <w:rPr>
          <w:b w:val="0"/>
        </w:rPr>
        <w:t xml:space="preserve"> / P95 </w:t>
      </w:r>
      <w:r>
        <w:rPr>
          <w:b/>
        </w:rPr>
        <w:t>4 ms</w:t>
      </w:r>
      <w:r>
        <w:rPr>
          <w:b w:val="0"/>
        </w:rPr>
        <w:t xml:space="preserve">；压测期缓存命中率 </w:t>
      </w:r>
      <w:r>
        <w:rPr>
          <w:b/>
        </w:rPr>
        <w:t>99.96%</w:t>
      </w:r>
    </w:p>
    <w:p>
      <w:pPr>
        <w:pStyle w:val="ListBullet"/>
        <w:ind w:left="360"/>
      </w:pPr>
      <w:r>
        <w:rPr>
          <w:b w:val="0"/>
        </w:rPr>
        <w:t xml:space="preserve">文档：新增 </w:t>
      </w:r>
      <w:r>
        <w:rPr>
          <w:rFonts w:ascii="Consolas" w:hAnsi="Consolas"/>
          <w:b w:val="0"/>
          <w:sz w:val="19"/>
        </w:rPr>
        <w:t>docs/44_全链路与性能测试报告.md</w:t>
      </w:r>
      <w:r>
        <w:rPr>
          <w:b w:val="0"/>
        </w:rPr>
        <w:t>；docs/03（读模型 + A14–A16）、docs/08（E2E/性能层）、</w:t>
      </w:r>
    </w:p>
    <w:p>
      <w:r>
        <w:rPr>
          <w:b w:val="0"/>
        </w:rPr>
        <w:t>docs/09（</w:t>
      </w:r>
      <w:r>
        <w:rPr>
          <w:rFonts w:ascii="Consolas" w:hAnsi="Consolas"/>
          <w:b w:val="0"/>
          <w:color w:val="0B4F75"/>
          <w:sz w:val="19"/>
        </w:rPr>
        <w:t>TIANGONG_BULK_DB</w:t>
      </w:r>
      <w:r>
        <w:rPr>
          <w:b w:val="0"/>
        </w:rPr>
        <w:t>/</w:t>
      </w:r>
      <w:r>
        <w:rPr>
          <w:rFonts w:ascii="Consolas" w:hAnsi="Consolas"/>
          <w:b w:val="0"/>
          <w:color w:val="0B4F75"/>
          <w:sz w:val="19"/>
        </w:rPr>
        <w:t>TIANGONG_REDIS_URL</w:t>
      </w:r>
      <w:r>
        <w:rPr>
          <w:b w:val="0"/>
        </w:rPr>
        <w:t xml:space="preserve"> + 性能基线）、docs/38（巡检项 + 容量）同步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2026-10-26 ｜ v1.2 增补：局域网人工测试指南 + 配套课程</w:t>
      </w:r>
    </w:p>
    <w:p>
      <w:pPr>
        <w:pStyle w:val="ListBullet"/>
        <w:ind w:left="360"/>
      </w:pPr>
      <w:r>
        <w:rPr>
          <w:b w:val="0"/>
        </w:rPr>
        <w:t xml:space="preserve">新增 </w:t>
      </w:r>
      <w:r>
        <w:rPr>
          <w:rFonts w:ascii="Consolas" w:hAnsi="Consolas"/>
          <w:b w:val="0"/>
          <w:sz w:val="19"/>
        </w:rPr>
        <w:t>docs/45_局域网人工测试操作指南.md</w:t>
      </w:r>
      <w:r>
        <w:rPr>
          <w:b w:val="0"/>
        </w:rPr>
        <w:t>：访问地址/防火墙/代理/端口排查、</w:t>
      </w:r>
    </w:p>
    <w:p>
      <w:r>
        <w:rPr>
          <w:b w:val="0"/>
        </w:rPr>
        <w:t>必测主链路 10 项（含 R1/R2 红线）、多端验证、接口自检 9 项、测试记录表、缺陷反馈模板</w:t>
      </w:r>
    </w:p>
    <w:p>
      <w:pPr>
        <w:pStyle w:val="ListBullet"/>
        <w:ind w:left="360"/>
      </w:pPr>
      <w:r>
        <w:rPr>
          <w:b w:val="0"/>
        </w:rPr>
        <w:t>新增配套课程仓库：[tiangong-course](https://github.com/tianqiongenze/tiangong-course)</w:t>
      </w:r>
    </w:p>
    <w:p>
      <w:r>
        <w:rPr>
          <w:b w:val="0"/>
        </w:rPr>
        <w:t>（64 课时 · 德国双元制本土化 · 费曼 + 布鲁姆；16 套 PPT + 44 份文档的 Word/PDF）</w:t>
      </w:r>
    </w:p>
    <w:p>
      <w:pPr>
        <w:pStyle w:val="ListBullet"/>
        <w:ind w:left="360"/>
      </w:pPr>
      <w:r>
        <w:rPr>
          <w:b w:val="0"/>
        </w:rPr>
        <w:t>课程与上游同步机制：</w:t>
      </w:r>
      <w:r>
        <w:rPr>
          <w:rFonts w:ascii="Consolas" w:hAnsi="Consolas"/>
          <w:b w:val="0"/>
          <w:sz w:val="19"/>
        </w:rPr>
        <w:t>tools/sync_upstream.py</w:t>
      </w:r>
      <w:r>
        <w:rPr>
          <w:b w:val="0"/>
        </w:rPr>
        <w:t xml:space="preserve"> 生成 </w:t>
      </w:r>
      <w:r>
        <w:rPr>
          <w:rFonts w:ascii="Consolas" w:hAnsi="Consolas"/>
          <w:b w:val="0"/>
          <w:sz w:val="19"/>
        </w:rPr>
        <w:t>upstream/</w:t>
      </w:r>
      <w:r>
        <w:rPr>
          <w:b w:val="0"/>
        </w:rPr>
        <w:t xml:space="preserve"> 快照并扫描过期数字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2026-10-26 ｜ v1.2 增补：局域网人工测试指南 + 配套课程</w:t>
      </w:r>
    </w:p>
    <w:p>
      <w:pPr>
        <w:pStyle w:val="ListBullet"/>
        <w:ind w:left="360"/>
      </w:pPr>
      <w:r>
        <w:rPr>
          <w:b w:val="0"/>
        </w:rPr>
        <w:t xml:space="preserve">新增 </w:t>
      </w:r>
      <w:r>
        <w:rPr>
          <w:rFonts w:ascii="Consolas" w:hAnsi="Consolas"/>
          <w:b w:val="0"/>
          <w:sz w:val="19"/>
        </w:rPr>
        <w:t>docs/45_局域网人工测试操作指南.md</w:t>
      </w:r>
      <w:r>
        <w:rPr>
          <w:b w:val="0"/>
        </w:rPr>
        <w:t>：访问地址/防火墙/代理/端口排查、</w:t>
      </w:r>
    </w:p>
    <w:p>
      <w:r>
        <w:rPr>
          <w:b w:val="0"/>
        </w:rPr>
        <w:t>必测主链路 10 项（含 R1/R2 红线）、多端验证、接口自检 9 项、测试记录表、缺陷反馈模板</w:t>
      </w:r>
    </w:p>
    <w:p>
      <w:pPr>
        <w:pStyle w:val="ListBullet"/>
        <w:ind w:left="360"/>
      </w:pPr>
      <w:r>
        <w:rPr>
          <w:b w:val="0"/>
        </w:rPr>
        <w:t>新增配套课程仓库：[tiangong-course](https://github.com/tianqiongenze/tiangong-course)</w:t>
      </w:r>
    </w:p>
    <w:p>
      <w:r>
        <w:rPr>
          <w:b w:val="0"/>
        </w:rPr>
        <w:t>（64 课时 · 德国双元制本土化 · 费曼 + 布鲁姆；16 套 PPT + 44 份文档的 Word/PDF）</w:t>
      </w:r>
    </w:p>
    <w:p>
      <w:pPr>
        <w:pStyle w:val="ListBullet"/>
        <w:ind w:left="360"/>
      </w:pPr>
      <w:r>
        <w:rPr>
          <w:b w:val="0"/>
        </w:rPr>
        <w:t>课程与上游同步机制：</w:t>
      </w:r>
      <w:r>
        <w:rPr>
          <w:rFonts w:ascii="Consolas" w:hAnsi="Consolas"/>
          <w:b w:val="0"/>
          <w:sz w:val="19"/>
        </w:rPr>
        <w:t>tools/sync_upstream.py</w:t>
      </w:r>
      <w:r>
        <w:rPr>
          <w:b w:val="0"/>
        </w:rPr>
        <w:t xml:space="preserve"> 生成 </w:t>
      </w:r>
      <w:r>
        <w:rPr>
          <w:rFonts w:ascii="Consolas" w:hAnsi="Consolas"/>
          <w:b w:val="0"/>
          <w:sz w:val="19"/>
        </w:rPr>
        <w:t>upstream/</w:t>
      </w:r>
      <w:r>
        <w:rPr>
          <w:b w:val="0"/>
        </w:rPr>
        <w:t xml:space="preserve"> 快照并扫描过期数字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