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· 安全合规与 AI 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GB/T 16855 / ISO 13849 / IEC 62443 / ISO/IEC 42001 / GB/T 22239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待评审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安全总原则</w:t>
      </w:r>
    </w:p>
    <w:p>
      <w:pPr>
        <w:ind w:left="360"/>
      </w:pPr>
      <w:r>
        <w:rPr>
          <w:i/>
          <w:color w:val="4A5158"/>
        </w:rPr>
        <w:t>具身智能的安全不是功能，是前提。 一次失控的物理动作，代价可能是人身伤害——这决定了本项目的所有设计优先级。</w:t>
      </w:r>
    </w:p>
    <w:p>
      <w:r>
        <w:rPr>
          <w:b w:val="0"/>
        </w:rPr>
        <w:t>三条不可协商：</w:t>
      </w:r>
    </w:p>
    <w:p>
      <w:pPr>
        <w:pStyle w:val="ListNumber"/>
        <w:ind w:left="360"/>
      </w:pPr>
      <w:r>
        <w:rPr>
          <w:b/>
        </w:rPr>
        <w:t>脊髓层独立于大脑</w:t>
      </w:r>
      <w:r>
        <w:rPr>
          <w:b w:val="0"/>
        </w:rPr>
        <w:t>：LLM 不可用，围栏/停机/急停依然生效</w:t>
      </w:r>
    </w:p>
    <w:p>
      <w:pPr>
        <w:pStyle w:val="ListNumber"/>
        <w:ind w:left="360"/>
      </w:pPr>
      <w:r>
        <w:rPr>
          <w:b/>
        </w:rPr>
        <w:t>安全判定在运行时层</w:t>
      </w:r>
      <w:r>
        <w:rPr>
          <w:b w:val="0"/>
        </w:rPr>
        <w:t>：提示词里的"禁止"不构成控制</w:t>
      </w:r>
    </w:p>
    <w:p>
      <w:pPr>
        <w:pStyle w:val="ListNumber"/>
        <w:ind w:left="360"/>
      </w:pPr>
      <w:r>
        <w:rPr>
          <w:b/>
        </w:rPr>
        <w:t>人工确认点不可绕过</w:t>
      </w:r>
      <w:r>
        <w:rPr>
          <w:b w:val="0"/>
        </w:rPr>
        <w:t>：关键动作的令牌只能由人签发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五条红线（实现即文档，见 tiangong_core/safety.py）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红线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实现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违反后果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系统永不向机器人下发进入禁入区的动作；无例外、无"临时开启"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check_geofence + check_action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任务 ABORTED + 事件复盘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人工确认令牌只能由人签发，模型不得生成或复用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HUMAN_TOKEN_ACTIONS + payload&gt;50kg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RedLineError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数据源内容永不当作指令执行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外部文本一律进数据隔离区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安全审查不采信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停止区有人必须停机；恢复必须人工确认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person_in_stop_zone → speed_limit=0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停机 + 人工确认流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无证据的动作不得标记完成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verify_evidence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打回重做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安全区模型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行为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FORBIDDEN 禁入区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拒绝执行（不是降速！）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高压间/化学品库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STOP 停止区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有人即停（speed_limit=0）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人机交叉作业区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SLOW 限速区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降速通过（默认 0.3 m/s）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人行通道/窄门</w:t>
            </w:r>
          </w:p>
        </w:tc>
      </w:tr>
    </w:tbl>
    <w:p>
      <w:r>
        <w:rPr>
          <w:b w:val="0"/>
        </w:rPr>
        <w:t xml:space="preserve">机器人能力画像含 </w:t>
      </w:r>
      <w:r>
        <w:rPr>
          <w:rFonts w:ascii="Consolas" w:hAnsi="Consolas"/>
          <w:b w:val="0"/>
          <w:color w:val="0B4F75"/>
          <w:sz w:val="19"/>
        </w:rPr>
        <w:t>intrinsically_safe</w:t>
      </w:r>
      <w:r>
        <w:rPr>
          <w:b w:val="0"/>
        </w:rPr>
        <w:t>（本质安全）标志—— 仅本质安全机器人可申请进入停止区作业（且仍需人工令牌）。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功能安全映射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本项目机制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GB/T 16855 / ISO 13849 概念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停止区停机 + 急停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安全功能（SF）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围栏判定（确定性代码）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安全相关控制部件（SRP/CS）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person_in_stop_zone 遥测透传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安全输入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L3 遥操作 / L4 挂起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安全状态降级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红线违规事件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安全事件记录</w:t>
            </w:r>
          </w:p>
        </w:tc>
      </w:tr>
    </w:tbl>
    <w:p>
      <w:pPr>
        <w:ind w:left="360"/>
      </w:pPr>
      <w:r>
        <w:rPr>
          <w:i/>
          <w:color w:val="4A5158"/>
        </w:rPr>
        <w:t>说明：本项目是软件平台，本体安全（急停回路、安全 PLC）由机器人厂商负责； 平台的职责是"不发起危险动作"与"危险现场必停"。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网络安全（IEC 62443 对齐）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L3 企业管理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MES/EAM/审批流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单向到 L2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L2 基地监控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agent-runtime / 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到 L1 只走 RobotLink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L1 现场控制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机器人/PLC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平台不直连 PLC/DCS/SIS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L0 过程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产线设备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只读遥测</w:t>
            </w:r>
          </w:p>
        </w:tc>
      </w:tr>
    </w:tbl>
    <w:p>
      <w:pPr>
        <w:pStyle w:val="ListBullet"/>
        <w:ind w:left="360"/>
      </w:pPr>
      <w:r>
        <w:rPr>
          <w:b w:val="0"/>
        </w:rPr>
        <w:t>所有接口鉴权（生产：OAuth2 + mTLS）</w:t>
      </w:r>
    </w:p>
    <w:p>
      <w:pPr>
        <w:pStyle w:val="ListBullet"/>
        <w:ind w:left="360"/>
      </w:pPr>
      <w:r>
        <w:rPr>
          <w:b w:val="0"/>
        </w:rPr>
        <w:t>审计链：动作/审批/技能变更/令牌签发全程留痕</w:t>
      </w:r>
    </w:p>
    <w:p>
      <w:pPr>
        <w:pStyle w:val="ListBullet"/>
        <w:ind w:left="360"/>
      </w:pPr>
      <w:r>
        <w:rPr>
          <w:b w:val="0"/>
        </w:rPr>
        <w:t>脱敏网关：episode 上行前剥离敏感字段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AI 治理（ISO/IEC 42001）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落点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生成内容标识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报告标注 generated_by=agent-runtime + 免责声明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人类监督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审批点 + L3/L4 人工接管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数据治理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consent_id 授权单 + 脱敏 + checksum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模型/技能登记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技能四态 + 版本入证据链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红线违规 → 立即回滚 + 复盘（见宪法违规处理）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数据合规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数据分级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L3/L4 数据（原始视频/波形）不出厂区；仅脱敏特征值上行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授权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 consent_id 不入库（代码强制）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最小化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只采作业必要字段；人脸/工牌默认剥离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保留期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episode 默认 180 天，到期自动清理（配置化）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上线前安全检查单（摘要，全文见 docs/11）</w:t>
      </w:r>
    </w:p>
    <w:p>
      <w:pPr>
        <w:pStyle w:val="ListBullet"/>
        <w:ind w:left="360"/>
      </w:pPr>
      <w:r>
        <w:rPr>
          <w:b w:val="0"/>
        </w:rPr>
        <w:t>[ ] 安全区测绘签字（设备部 + 安全部）</w:t>
      </w:r>
    </w:p>
    <w:p>
      <w:pPr>
        <w:pStyle w:val="ListBullet"/>
        <w:ind w:left="360"/>
      </w:pPr>
      <w:r>
        <w:rPr>
          <w:b w:val="0"/>
        </w:rPr>
        <w:t>[ ] 五条红线逐条签字</w:t>
      </w:r>
    </w:p>
    <w:p>
      <w:pPr>
        <w:pStyle w:val="ListBullet"/>
        <w:ind w:left="360"/>
      </w:pPr>
      <w:r>
        <w:rPr>
          <w:b w:val="0"/>
        </w:rPr>
        <w:t>[ ] 急停链路实测（每台机器人）</w:t>
      </w:r>
    </w:p>
    <w:p>
      <w:pPr>
        <w:pStyle w:val="ListBullet"/>
        <w:ind w:left="360"/>
      </w:pPr>
      <w:r>
        <w:rPr>
          <w:b w:val="0"/>
        </w:rPr>
        <w:t>[ ] 停止区有人停机实测（每区）</w:t>
      </w:r>
    </w:p>
    <w:p>
      <w:pPr>
        <w:pStyle w:val="ListBullet"/>
        <w:ind w:left="360"/>
      </w:pPr>
      <w:r>
        <w:rPr>
          <w:b w:val="0"/>
        </w:rPr>
        <w:t>[ ] 人工令牌流实测（签发/使用/过期）</w:t>
      </w:r>
    </w:p>
    <w:p>
      <w:pPr>
        <w:pStyle w:val="ListBullet"/>
        <w:ind w:left="360"/>
      </w:pPr>
      <w:r>
        <w:rPr>
          <w:b w:val="0"/>
        </w:rPr>
        <w:t>[ ] 混沌演练（LLM 挂 / 机器人挂 / 网络断）</w:t>
      </w:r>
    </w:p>
    <w:p>
      <w:pPr>
        <w:pStyle w:val="ListBullet"/>
        <w:ind w:left="360"/>
      </w:pPr>
      <w:r>
        <w:rPr>
          <w:b w:val="0"/>
        </w:rPr>
        <w:t>[ ] 证据链抽样回放（≥ 10 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