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· 标准符合性矩阵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v1.0（v1.1 审查后新增）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HEIS 2026 标准体系 / GB/T / ISO/IEC / VDA 5050 / IEC 62443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已对齐（生产准入以 docs/11 检查单为准）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《人形机器人与具身智能标准体系（2026 版）》对齐</w:t>
      </w:r>
    </w:p>
    <w:p>
      <w:pPr>
        <w:ind w:left="360"/>
      </w:pPr>
      <w:r>
        <w:rPr>
          <w:i/>
          <w:color w:val="4A5158"/>
        </w:rPr>
        <w:t>2026-02-28 发布，工信部人形机器人与具身智能标准化技术委员会组织编制， 覆盖全产业链全生命周期，六个部分。本表给出逐部分符合性口径。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HEIS 部分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符合性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基础共性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术语统一（大脑/小脑/脊髓、作业单、任务、episode）；docs/00–02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类脑与智算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三层架构（大脑=VLM 规划 / 小脑=VLA 技能 / 脊髓=确定性安全）；docs/03 §2、docs/05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肢体与部组件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RobotLink 契约 + adapter（不造本体，能力画像建模）；docs/06 §4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部分符合（本体不在范围，见 docs/00 §3.2）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整机与系统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九态任务生命周期 + 降级阶梯 + 证据链；docs/05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五类作业单 + 42 项验收 + 实景实训场景申报路径；docs/02、docs/10、docs/11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安全伦理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五条红线 + 三类安全区 + AI 治理；docs/07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符合</w:t>
            </w:r>
          </w:p>
        </w:tc>
      </w:tr>
    </w:tbl>
    <w:p>
      <w:pPr>
        <w:pStyle w:val="Heading2"/>
      </w:pPr>
      <w:r>
        <w:t>2. 软件工程与文档标准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落点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GB/T 8567-2006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软件文档编制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docs/00–11 + specs/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ISO 29148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需求工程（EARS）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 全量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SDD（规范驱动）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Constitution→Spec→Plan→Tasks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TDD/BDD/ATDD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测试三驱动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 + Gherkin（features/）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限界上下文/聚合/不变量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 §4（TaskGraph/九态/证据不变量）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CQRS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命令查询职责分离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repository.py 写主读从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TOGAF 10 ADM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架构开发与治理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docs/00–11 覆盖 A–H 关键产物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GB/T 22239 等保 2.0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二级（首期）→ 三级（多基地）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 §5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设计中</w:t>
            </w:r>
          </w:p>
        </w:tc>
      </w:tr>
    </w:tbl>
    <w:p>
      <w:pPr>
        <w:pStyle w:val="Heading2"/>
      </w:pPr>
      <w:r>
        <w:t>3. 功能安全与机器安全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概念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GB/T 16855 / ISO 13849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安全功能（SF）/ SRP-CS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围栏/停机/急停为确定性代码（脊髓层）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 3691-4（工业车辆）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无人驾驶工业车辆安全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停止区停机 + 限速区 + 本质安全优先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IEC 62443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工控分区（L0–L3）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 §5 分区表；平台不直连 PLC/DCS/SIS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ISO/IEC 42001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内容标识 + 人工监督 + 数据治理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GB/T 45288.1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大模型安全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提示注入防护：数据源内容不作指令（R3）</w:t>
            </w:r>
          </w:p>
        </w:tc>
      </w:tr>
    </w:tbl>
    <w:p>
      <w:pPr>
        <w:pStyle w:val="Heading2"/>
      </w:pPr>
      <w:r>
        <w:t>4. 接口与通信标准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VDA 5050 v2.0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AGV/AMR 跨品牌接口（MQTT）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robots/vda5050.py + contracts/proto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gRPC/Protobuf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机器人链路契约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contracts/proto/robot_link.proto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MCP（2025-03-26）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智能体工具暴露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app/mcp.py（7 工具）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REST/JSON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业务系统集成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智能体互联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/a2a/v1（与 Diting-PdM 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OTel GenAI SemConv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可观测语义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app/otel.py（gen_ai.* 属性）</w:t>
            </w:r>
          </w:p>
        </w:tc>
      </w:tr>
    </w:tbl>
    <w:p>
      <w:pPr>
        <w:pStyle w:val="Heading2"/>
      </w:pPr>
      <w:r>
        <w:t>5. 数据合规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数据分级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L3/L4 不出厂区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docs/04 §3.1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授权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consent_id 强制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episode.py 代码强制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脱敏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人脸/工牌/商业秘密剥离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adapter 层钩子（docs/04）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checksum 防篡改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Episode.checksum</w:t>
            </w:r>
          </w:p>
        </w:tc>
      </w:tr>
    </w:tbl>
    <w:p>
      <w:pPr>
        <w:pStyle w:val="Heading2"/>
      </w:pPr>
      <w:r>
        <w:t>6. 许可审查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许可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tiangong_core / app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MIT（本仓库）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可商用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VLA 模型（合作方/开源）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逐项审查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生产禁非商用许可（宪法第七条）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paho-mqtt（adapter 可选依赖）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EPL/EDL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需登记后引入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