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43 · 多视角审查报告与重构升级总路线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TG-DOC-43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v1.0（v1.1 重构输入）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审查方式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五视角独立审查 + 标准符合性核对 + 联网最优实践对标（2026-10）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审查完成，重构方案已确认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审查方法</w:t>
      </w:r>
    </w:p>
    <w:p>
      <w:r>
        <w:rPr>
          <w:b w:val="0"/>
        </w:rPr>
        <w:t>五个视角各自独立审阅全套资料（docs/00–11、specs/、impl/、export/）， 按统一量表打分；再与 2026-10 联网检索的工业实践对标（招标评分要素、FDE 模式、 VDA 5050 混场调度、DDD/CQRS、TOGAF ADM 合规、HEIS 标准体系、OTel GenAI SemConv、 具身数据飞轮）。</w:t>
      </w:r>
    </w:p>
    <w:p>
      <w:r>
        <w:rPr>
          <w:b/>
        </w:rPr>
        <w:t>量表</w:t>
      </w:r>
      <w:r>
        <w:rPr>
          <w:b w:val="0"/>
        </w:rPr>
        <w:t xml:space="preserve">：每视角按 5 个维度打分（1–5 分），加权得视角分；总分 100 = 5 视角 × 20。 </w:t>
      </w:r>
      <w:r>
        <w:rPr>
          <w:b/>
        </w:rPr>
        <w:t>通过线</w:t>
      </w:r>
      <w:r>
        <w:rPr>
          <w:b w:val="0"/>
        </w:rPr>
        <w:t>：≥ 80 为可交付；任一安全维度 &lt; 3 为一票否决项（本轮无）。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五视角打分</w:t>
      </w:r>
    </w:p>
    <w:p>
      <w:pPr>
        <w:pStyle w:val="Heading3"/>
      </w:pPr>
      <w:r>
        <w:t>2.1 招标师视角（技术标得分能力，权重 20）</w:t>
      </w:r>
    </w:p>
    <w:p>
      <w:r>
        <w:rPr>
          <w:b w:val="0"/>
        </w:rPr>
        <w:t>对标某智能制造平台招标技术部分评分结构（方案可行性 30 / 技术实力 25 / 实施 20 / 服务 15 / 演示 10）：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法规标准符合性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8567、等保、IEC 62443 已映射；缺《人形机器人与具身智能标准体系（2026 版）》符合性矩阵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需求覆盖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EARS + 42 项验收齐全；缺商务级 SLA 量化表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技术实力证明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58 测试 + 92% 覆盖 + CI；缺可运行看板与现场演示脚本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实施方案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路线图有；缺数据迁移/培训/驻场计划（招标服务分项）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售后服务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有应急原则；缺运维手册与响应时效承诺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小计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主要失分：标准矩阵、运维手册、服务方案</w:t>
            </w:r>
          </w:p>
        </w:tc>
      </w:tr>
    </w:tbl>
    <w:p>
      <w:pPr>
        <w:pStyle w:val="Heading3"/>
      </w:pPr>
      <w:r>
        <w:t>2.2 FDE 工程师视角（现场交付能力，权重 20）</w:t>
      </w:r>
    </w:p>
    <w:p>
      <w:r>
        <w:rPr>
          <w:b w:val="0"/>
        </w:rPr>
        <w:t>对标 Palantir FDE 双引擎（现场嵌入解决问题 + 总部抽象沉淀产品化）：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现场可跑性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无硬件 demo + REST/MCP 双接口；缺一键部署包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价值交付证明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ROI 模型有；缺"换线时间/节拍"类现场 KPI 基线表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可配置性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安全区/技能已配置化；缺零代码的作业单模板配置界面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多品牌接入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契约有、适配器只有 mock——VDA 5050 混场调度是招标硬项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现场归因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trace_id + 证据链 + 降级记录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小计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主要失分：多品牌适配深度、现场 KPI 基线</w:t>
            </w:r>
          </w:p>
        </w:tc>
      </w:tr>
    </w:tbl>
    <w:p>
      <w:pPr>
        <w:pStyle w:val="Heading3"/>
      </w:pPr>
      <w:r>
        <w:t>2.3 资深架构师视角（权重 20）</w:t>
      </w:r>
    </w:p>
    <w:p>
      <w:r>
        <w:rPr>
          <w:b w:val="0"/>
        </w:rPr>
        <w:t>对标 DDD/CQRS、多级缓存、事件驱动、TOGAF ADM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聚合/不变量清晰（DAG 无环、九态白名单、证据只追加）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架构分层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核心包/服务/链路三层干净，契约先行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性能架构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无缓存、无读写分离、无事件总线——Diting-PdM 已具备的工程能力未迁移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可观测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RunReport 有；无 OTel span、无指标端点、无 GenAI 语义属性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合规治理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宪法 + ADR + 技能四态；TOGAF Phase G 合规审查缺形式化清单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小计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主要失分：性能架构与可观测（对照 Diting-PdM 明显退步）</w:t>
            </w:r>
          </w:p>
        </w:tc>
      </w:tr>
    </w:tbl>
    <w:p>
      <w:pPr>
        <w:pStyle w:val="Heading3"/>
      </w:pPr>
      <w:r>
        <w:t>2.4 AI/具身智能教授级高工视角（权重 20）</w:t>
      </w:r>
    </w:p>
    <w:p>
      <w:r>
        <w:rPr>
          <w:b w:val="0"/>
        </w:rPr>
        <w:t>对标 HEIS 标准体系六部分、VLA 三代演进、数据飞轮工业实践：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大脑-小脑-脊髓架构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三层映射清晰，脊髓层独立于 LLM（20ms 思想落地为确定性代码）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安全与功能安全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五条红线 + 三类安全区 + 人工令牌，代码级实现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四态 + 灰度 + 回滚；缺技能评测集（golden cases  per skill）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数据飞轮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episode 模型有；缺"采集-清洗-标注-训练-回流"全链路口径与数据集市场对接格式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标准符合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未对齐 HEIS 2026 六部分术语与测试验证要求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小计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20/25 → 折 16/20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主要失分：数据飞轮深度、HEIS 对齐</w:t>
            </w:r>
          </w:p>
        </w:tc>
      </w:tr>
    </w:tbl>
    <w:p>
      <w:pPr>
        <w:pStyle w:val="Heading3"/>
      </w:pPr>
      <w:r>
        <w:t>2.5 高级美工视角（权重 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视觉体系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文档结构清晰；无统一视觉语言（Diting-PdM 有 index.html 总览）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信息传达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表格用得好；缺架构图/看板等"一眼看懂"的载体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演示质感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无运营看板、无现场大屏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品牌一致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命名（天工）、口号、红线表达一致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小计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主要失分：无可视化资产</w:t>
            </w:r>
          </w:p>
        </w:tc>
      </w:tr>
    </w:tbl>
    <w:p>
      <w:pPr>
        <w:pStyle w:val="Heading3"/>
      </w:pPr>
      <w:r>
        <w:t>2.6 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视角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定级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招标师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架构师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教授级高工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高级美工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12/20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待改进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总计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78/100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低于 80 可交付线 → 触发重构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对标发现的工业实践缺口（联网检索，2026-10）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缺口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工业实践参照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本项目现状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多品牌混场调度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VDA 5050 是跨品牌 AGV/AMR 通用语言；仙工 SRC 支持自定义+VDA5050 双协议混场；Open-RMF/NVIDIA Isaac 为开源参照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仅 mock adapter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读写分离 + 多级缓存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MateCloud 二级缓存；CQRS 首要价值是语义清晰而非性能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Pulsar/Redis 双 transport（Diting-PdM 已实现）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可观测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OTel GenAI SemConv（gen_ai.system/request.model/usage tokens）；Session&gt;Trace&gt;Span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仅 RunReport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训练场数据闭环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全国 70+ 训练场；合规数据仅 50 万小时 vs 需求数千万小时；数据集市场 2024 年 7.37 亿美元 → 2031 年 70.14 亿美元（中国占 50%）；百度智能云"采集-标注-训练-回流"闭环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 仅记录与导出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标准体系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HEIS 2026 六部分（基础共性/类脑与智算/肢体与部组件/整机与系统/应用/安全伦理）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未建矩阵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头部平台均有数字孪生+运营看板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运维服务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招标服务分项要求应急响应流程/驻场经验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无运维手册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重构方案（v1.1，已执行）</w:t>
      </w:r>
    </w:p>
    <w:p>
      <w:pPr>
        <w:pStyle w:val="Heading3"/>
      </w:pPr>
      <w:r>
        <w:t>4.1 工程重构（P0，全部 TDD）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多级缓存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app/cache.py：L1 进程内 TTL + L2 可选（Redis 接口预留），命中率统计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test_cache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读写分离 + 持久化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app/repository.py：SQLite WAL，写主库/读从库双连接；作业单/任务/episode/技能表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test_repository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app/events.py：Event 模型 + MemoryTransport（Pulsar/Redis transport 接口预留），事件溯源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OTel 可观测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app/otel.py：Session&gt;Trace&gt;Span 三层 + GenAI 语义属性（gen_ai.system 等），无 SDK 依赖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test_otel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多品牌适配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app/robots/vda5050.py（VDA 5050 MQTT 契约骨架）+ registry.py（adapter 注册表/工厂/健康探测）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test_adapters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Hermes 三层记忆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app/memory/：工作记忆（当前作业）/ 情景记忆（episode 索引）/ 技能记忆（四态）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test_memory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A2A 协作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app/a2a.py：agent card + 任务委派端点（与 Diting-PdM 联动：HI 告警→巡检作业单）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test_a2a</w:t>
            </w:r>
          </w:p>
        </w:tc>
      </w:tr>
    </w:tbl>
    <w:p>
      <w:pPr>
        <w:pStyle w:val="Heading3"/>
      </w:pPr>
      <w:r>
        <w:t>4.2 文档重构（P0）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docs/12 标准符合性矩阵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HEIS 2026 六部分 + GB/T + ISO/IEC + VDA 5050 逐项符合性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docs/13 审查与重构总路线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docs/38 运维手册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值班/应急/SLO/备份/巡检（对标招标服务分项）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docs/03/08/09 更新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CQRS/缓存/事件/OTel/适配器架构同步</w:t>
            </w:r>
          </w:p>
        </w:tc>
      </w:tr>
    </w:tbl>
    <w:p>
      <w:pPr>
        <w:pStyle w:val="Heading3"/>
      </w:pPr>
      <w:r>
        <w:t>4.3 可视化重构（P1）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web/index.html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运营看板：机群遥测、任务看板、安全区 SVG 地图、指标卡（无第三方依赖，单文件）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 徽章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CI/覆盖度/许可/标准符合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重构后预期得分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视角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现状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预期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关键动作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招标师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R8 标准矩阵 + R10 运维手册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R5 多品牌 + R12 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架构师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R1–R4 性能与可观测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教授级高工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R5/R8 标准对齐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高级美工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R12 看板 + 架构图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总计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90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遗留技术债（登记，每迭代偿还）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TD-1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LLMPlanner 仅接口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Ph1 接入本地 VLM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gRPC adapter 为骨架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Ph2 真机联调补齐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看板为静态快照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Ph1 接 WebSocket 实时流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数据回流（模型→技能）未闭环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TD-5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多基地联邦调度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