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03 · 总体架构设计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 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TG-DOC-03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编制日期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TOGAF B/C/D / 4A / C4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待评审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架构概览（C4-L1 系统上下文）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┌─────────────┐   ┌─────────────┐   ┌─────────────┐</w:t>
        <w:br/>
        <w:t>│  MES/EAM    │   │  安全专员    │   │  智能体生态  │</w:t>
        <w:br/>
        <w:t>│  /WMS       │   │  /设备科     │   │  (MCP 客户端)│</w:t>
        <w:br/>
        <w:t>└──────┬──────┘   └──────┬──────┘   └──────┬──────┘</w:t>
        <w:br/>
        <w:t xml:space="preserve">       │ REST            │ REST/UI          │ MCP</w:t>
        <w:br/>
        <w:t xml:space="preserve">       ▼                 ▼                  ▼</w:t>
        <w:br/>
        <w:t>┌──────────────────────────────────────────────────────┐</w:t>
        <w:br/>
        <w:t>│              天工 agent-runtime（智能层）               │</w:t>
        <w:br/>
        <w:t>│  分解 → 审批 → 调度 → 安全审查 → 执行 → 证据 → 沉淀     │</w:t>
        <w:br/>
        <w:t>└───────────────────────┬──────────────────────────────┘</w:t>
        <w:br/>
        <w:t xml:space="preserve">                        │ RobotLink（gRPC / VDA 5050）</w:t>
        <w:br/>
        <w:t xml:space="preserve">          ┌─────────────┼─────────────┬──────────────┐</w:t>
        <w:br/>
        <w:t xml:space="preserve">          ▼             ▼             ▼              ▼</w:t>
        <w:br/>
        <w:t xml:space="preserve">     ┌─────────┐  ┌──────────┐  ┌─────────┐    ┌──────────┐</w:t>
        <w:br/>
        <w:t xml:space="preserve">     │  AMR    │  │  机械臂   │  │  四足    │    │  人形    │</w:t>
        <w:br/>
        <w:t xml:space="preserve">     │（搬运） │  │（上下料）│  │（巡检）  │    │（多任务）│</w:t>
        <w:br/>
        <w:t xml:space="preserve">     └─────────┘  └──────────┘  └─────────┘    └──────────┘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具身智能体分层：大脑 / 小脑 / 脊髓</w:t>
      </w:r>
    </w:p>
    <w:p>
      <w:r>
        <w:rPr>
          <w:b w:val="0"/>
        </w:rPr>
        <w:t>借鉴 2026 年 VLA 三代演进共识（端到端 VLA → 增强型 VLA → 类脑 VLA，如 NeuroVLA 的 大脑-小脑-脊髓架构），本项目的工程映射：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本项目实现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时延要求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大脑（认知）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意图理解、任务分解、调度决策、异常处置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agent-runtime（LLM 规划器 + 规则兜底）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秒级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小脑（技能）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具体动作技能执行（取放/搬运/读数）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具身技能（VLA 或规则，受治理）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百毫秒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脊髓（反射）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围栏、停机、急停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tiangong_core.safety（运行时层）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毫秒级</w:t>
            </w:r>
          </w:p>
        </w:tc>
      </w:tr>
    </w:tbl>
    <w:p>
      <w:pPr>
        <w:ind w:left="360"/>
      </w:pPr>
      <w:r>
        <w:rPr>
          <w:i/>
          <w:color w:val="4A5158"/>
        </w:rPr>
        <w:t>关键架构决策：脊髓层不依赖大脑。即使 LLM 挂了，围栏/停机/急停依然生效 （对应 VLA 类脑架构的"碰撞反射 20ms"思想，用确定性代码实现）。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C4-L2 容器图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容器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技术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职责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agent-runtime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Python / Litestar / Granian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REST + MCP + 编排闭环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tiangong_core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纯 Python 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领域核（分解/调度/安全/证据/技能/飞轮）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robot-link-adapters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各厂商 adapter（gRPC 客户端）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协议适配（关差异）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episode-store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对象存储 / 消息队列（生产）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数据飞轮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审批流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钉钉/企微（外部）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人工令牌签发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领域模型（核心对象）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WorkOrder ── decompose ──▶ TaskGraph ── schedule ──▶ Task ── execute ──▶ Evidence</w:t>
        <w:br/>
        <w:t xml:space="preserve">   │                            │                        │                  │</w:t>
        <w:br/>
        <w:t xml:space="preserve">   │ kind/params                │ DAG                     │ 九态              │ trace/遥测/版本</w:t>
        <w:br/>
        <w:t xml:space="preserve">   ▼                            ▼                        ▼                  ▼</w:t>
        <w:br/>
        <w:t xml:space="preserve"> 五类作业单              拓扑序/就绪集            状态机白名单          verify_evidence</w:t>
        <w:br/>
        <w:t xml:space="preserve">                                                    │</w:t>
        <w:br/>
        <w:t xml:space="preserve">                       Robot ── match ──▶ Candidate（可解释打分）</w:t>
        <w:br/>
        <w:t xml:space="preserve">                       Skill ── 四态 ──▶ 生效版本</w:t>
        <w:br/>
        <w:t xml:space="preserve">                       SafetyZone ── 围栏 ──▶ Verdict</w:t>
      </w:r>
    </w:p>
    <w:p>
      <w:r>
        <w:rPr>
          <w:b w:val="0"/>
        </w:rPr>
        <w:t>关键不变量：</w:t>
      </w:r>
    </w:p>
    <w:p>
      <w:pPr>
        <w:pStyle w:val="ListNumber"/>
        <w:ind w:left="360"/>
      </w:pPr>
      <w:r>
        <w:rPr>
          <w:rFonts w:ascii="Consolas" w:hAnsi="Consolas"/>
          <w:b w:val="0"/>
          <w:sz w:val="19"/>
        </w:rPr>
        <w:t>TaskGraph</w:t>
      </w:r>
      <w:r>
        <w:rPr>
          <w:b w:val="0"/>
        </w:rPr>
        <w:t xml:space="preserve"> 必须无环（构造时 Kahn 校验）</w:t>
      </w:r>
    </w:p>
    <w:p>
      <w:pPr>
        <w:pStyle w:val="ListNumber"/>
        <w:ind w:left="360"/>
      </w:pPr>
      <w:r>
        <w:rPr>
          <w:b w:val="0"/>
        </w:rPr>
        <w:t>任务状态只能沿白名单迁移（</w:t>
      </w:r>
      <w:r>
        <w:rPr>
          <w:rFonts w:ascii="Consolas" w:hAnsi="Consolas"/>
          <w:b w:val="0"/>
          <w:sz w:val="19"/>
        </w:rPr>
        <w:t>lifecycle.py</w:t>
      </w:r>
      <w:r>
        <w:rPr>
          <w:b w:val="0"/>
        </w:rPr>
        <w:t>）</w:t>
      </w:r>
    </w:p>
    <w:p>
      <w:pPr>
        <w:pStyle w:val="ListNumber"/>
        <w:ind w:left="360"/>
      </w:pPr>
      <w:r>
        <w:rPr>
          <w:rFonts w:ascii="Consolas" w:hAnsi="Consolas"/>
          <w:b w:val="0"/>
          <w:sz w:val="19"/>
        </w:rPr>
        <w:t>Evidence</w:t>
      </w:r>
      <w:r>
        <w:rPr>
          <w:b w:val="0"/>
        </w:rPr>
        <w:t xml:space="preserve"> 只追加不修改（</w:t>
      </w:r>
      <w:r>
        <w:rPr>
          <w:rFonts w:ascii="Consolas" w:hAnsi="Consolas"/>
          <w:b w:val="0"/>
          <w:sz w:val="19"/>
        </w:rPr>
        <w:t>replace</w:t>
      </w:r>
      <w:r>
        <w:rPr>
          <w:b w:val="0"/>
        </w:rPr>
        <w:t xml:space="preserve"> 语义）</w:t>
      </w:r>
    </w:p>
    <w:p>
      <w:pPr>
        <w:pStyle w:val="ListNumber"/>
        <w:ind w:left="360"/>
      </w:pPr>
      <w:r>
        <w:rPr>
          <w:b w:val="0"/>
        </w:rPr>
        <w:t>技能只能引用 APPROVED 版本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关键架构决策（ADR 索引）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决策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理由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详址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软硬分层、契约先行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本体过剩、软件稀缺；协议差异关 adapter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contracts/proto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大脑/小脑/脊髓三层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安全不依赖 LLM 可用性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§2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规则规划器为默认兜底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可解释、可单测、LLM 挂了能跑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证据链作为完成判据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无证据不 DONE（可审计）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FR-502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技能四态 + 灰度 + 回滚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受控资产（宪法第十条）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FR-601–603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episode 强制 consent_id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数据合规（不出厂区）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FR-702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SQLite 优先（演示）/ PostgreSQL（生产）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与 Diting-PdM 双后端同构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docs/09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单基地双副本起步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可用性目标 99.5%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NFR-107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部署视图</w:t>
      </w:r>
    </w:p>
    <w:p>
      <w:pPr>
        <w:pStyle w:val="ListBullet"/>
        <w:ind w:left="360"/>
      </w:pPr>
      <w:r>
        <w:rPr>
          <w:b/>
        </w:rPr>
        <w:t>演示/CI</w:t>
      </w:r>
      <w:r>
        <w:rPr>
          <w:b w:val="0"/>
        </w:rPr>
        <w:t>：单进程 Litestar + MockRobotDriver（无硬件）</w:t>
      </w:r>
    </w:p>
    <w:p>
      <w:pPr>
        <w:pStyle w:val="ListBullet"/>
        <w:ind w:left="360"/>
      </w:pPr>
      <w:r>
        <w:rPr>
          <w:b/>
        </w:rPr>
        <w:t>基地边缘</w:t>
      </w:r>
      <w:r>
        <w:rPr>
          <w:b w:val="0"/>
        </w:rPr>
        <w:t>：K3s 双副本 agent-runtime + 本地 episode 缓存（弱网可断点续传）</w:t>
      </w:r>
    </w:p>
    <w:p>
      <w:pPr>
        <w:pStyle w:val="ListBullet"/>
        <w:ind w:left="360"/>
      </w:pPr>
      <w:r>
        <w:rPr>
          <w:b/>
        </w:rPr>
        <w:t>总部中心</w:t>
      </w:r>
      <w:r>
        <w:rPr>
          <w:b w:val="0"/>
        </w:rPr>
        <w:t>：汇聚各基地脱敏 episode + 技能注册中心 + 看板</w:t>
      </w:r>
    </w:p>
    <w:p>
      <w:r>
        <w:rPr>
          <w:b w:val="0"/>
        </w:rPr>
        <w:t xml:space="preserve">（清单见 </w:t>
      </w:r>
      <w:r>
        <w:rPr>
          <w:rFonts w:ascii="Consolas" w:hAnsi="Consolas"/>
          <w:b w:val="0"/>
          <w:color w:val="0B4F75"/>
          <w:sz w:val="19"/>
        </w:rPr>
        <w:t>impl/deploy/k8s/</w:t>
      </w:r>
      <w:r>
        <w:rPr>
          <w:b w:val="0"/>
        </w:rPr>
        <w:t>，多基地拓扑详 docs/09 §4）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质量属性场景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属性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响应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可用性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LLM 规划器超时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降级规则规划器（FR-105）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可用性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机器人执行失败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降级阶梯 L1→L4（FR-504）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安全性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停止区有人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毫秒级停机（FR-403）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可审计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事故复盘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trace_id 重建全链（FR-503）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可修改性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换机器人厂商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新 adapter，核心不动（A1）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性能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高峰 20 作业单并发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目标 NFR-101/102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