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4A75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Part A: Problem</w:t>
      </w:r>
    </w:p>
    <w:p w14:paraId="351888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Businesses, especially small and medium-sized ones, lack a unified, affordable software tool to track carbon emissions, manage waste classification data, and generate compliance-aligned sustainability reports. Currently, most enterprises rely on manual Excel-based record-keeping, which is prone to human error, unable to visualize data trends for actionable insights, and fails to effectively align their sustainability efforts with the UN Sustainable Development Goals (SDGs). Additionally, commercial ESG and sustainability management software is cost-prohibitive for SMEs, leaving them without accessible solutions to monitor, optimize, and report on their environmental impact— a critical need as businesses aim to adopt sustainable operations and meet regulatory and stakeholder demands for transparency.</w:t>
      </w:r>
    </w:p>
    <w:p w14:paraId="569445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Part B: Vision</w:t>
      </w:r>
    </w:p>
    <w:p w14:paraId="192598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This project will deliver a one-stop web-based sustainability management platform that enables businesses to automatically calculate carbon footprints and track waste classification recycling rates through simple, intuitive data entry. The platform will support the automatic generation of monthly, quarterly, and annual sustainability reports with one-click PDF export, streamlining compliance and stakeholder reporting. Hosted on the university-provided virtual machine, the platform will be fully accessible via remote web browsers, allowing assessors in Ireland to test all core functionalities directly and seamlessly using pre-provided test accounts.</w:t>
      </w:r>
    </w:p>
    <w:p w14:paraId="53FA56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Part C: Benefits</w:t>
      </w:r>
    </w:p>
    <w:p w14:paraId="2DEB6B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First, the platform drastically reduces manual data statistics time by automating carbon emission calculations through the standard formula of activity value multiplied by emission factor. Second, it enhances data accuracy via MySQL database constraints and built-in standard emission factor libraries, eliminating errors from manual entry and calculation. Third, it integrates ECharts to provide visual data trends through charts (line, pie, bar), making environmental performance insights clear and actionable. Fourth, the system is pre-aligned with UN SDG 9, 11, 12 and 13, enabling businesses to directly map their sustainability efforts to global goals. Fifth, the one-click PDF export function simplifies the creation of formal sustainability reports, supporting enterprises in meeting regulatory compliance and stakeholder reporting requirements efficiently.</w:t>
      </w:r>
    </w:p>
    <w:p w14:paraId="7EA20D5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C021C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2026-03-30T15:19:06Z</dcterms:created>
  <dc:creator>YOUHAOYANG</dc:creator>
  <cp:lastModifiedBy>&amp;_</cp:lastModifiedBy>
  <dcterms:modified xsi:type="dcterms:W3CDTF">2026-03-30T15:20:18Z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eyJoZGlkIjoiNDk0NjcxNjBkMzYzNTI4YTJhYTQwMGYzOWUxYWZkY2IiLCJ1c2VySWQiOiIxMDI4NDAwODE5In0=</vt:lpwstr>
  </property>
  <property fmtid="{D5CDD505-2E9C-101B-9397-08002B2CF9AE}" pid="4" name="ICV">
    <vt:lpwstr>63A2496FA6664E3A8D1E80B18DE5A154_12</vt:lpwstr>
  </property>
</Properties>
</file>