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00"/>
      </w:pPr>
      <w:r>
        <w:rPr>
          <w:rFonts w:ascii="Heiti SC" w:hAnsi="Heiti SC" w:eastAsia="Heiti SC"/>
          <w:b/>
          <w:color w:val="1F4E3D"/>
          <w:sz w:val="20"/>
        </w:rPr>
        <w:t>JIANYI CONSULTING</w:t>
      </w:r>
    </w:p>
    <w:p>
      <w:pPr>
        <w:pStyle w:val="Title"/>
        <w:spacing w:after="40"/>
      </w:pPr>
      <w:r>
        <w:t>简益咨询</w:t>
      </w:r>
    </w:p>
    <w:p>
      <w:pPr>
        <w:pStyle w:val="Subtitle"/>
        <w:spacing w:after="280"/>
        <w:pBdr>
          <w:bottom w:val="single" w:sz="12" w:space="12" w:color="1F4E3D"/>
        </w:pBdr>
      </w:pPr>
      <w:r>
        <w:t>产品与服务白皮书</w:t>
      </w:r>
    </w:p>
    <w:p>
      <w:pPr>
        <w:spacing w:before="320" w:after="400" w:line="324" w:lineRule="auto"/>
      </w:pPr>
      <w:r>
        <w:rPr>
          <w:rFonts w:ascii="Heiti SC" w:hAnsi="Heiti SC" w:eastAsia="Heiti SC"/>
          <w:b w:val="0"/>
          <w:color w:val="1A1A1A"/>
          <w:sz w:val="34"/>
        </w:rPr>
        <w:t>让经营判断、系统方案与项目执行，站在同一套逻辑上。</w:t>
      </w:r>
    </w:p>
    <w:p>
      <w:pPr>
        <w:spacing w:after="360"/>
      </w:pPr>
      <w:r>
        <w:rPr>
          <w:rFonts w:ascii="Heiti SC" w:hAnsi="Heiti SC" w:eastAsia="Heiti SC"/>
          <w:b/>
          <w:color w:val="1F4E3D"/>
          <w:sz w:val="21"/>
        </w:rPr>
        <w:t>零售经营咨询  |  IT战略与规划  |  甲方项目管理  |  业务产品设计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</w:pPr>
      <w:r>
        <w:rPr>
          <w:rFonts w:ascii="Heiti SC" w:hAnsi="Heiti SC" w:eastAsia="Heiti SC"/>
          <w:color w:val="6B6B6B"/>
          <w:sz w:val="19"/>
        </w:rPr>
        <w:t>版本：V1.3  |  日期：2026年8月  |  用途：对外业务交流</w:t>
      </w:r>
    </w:p>
    <w:p>
      <w:r>
        <w:rPr>
          <w:rFonts w:ascii="Heiti SC" w:hAnsi="Heiti SC" w:eastAsia="Heiti SC"/>
          <w:color w:val="6B6B6B"/>
          <w:sz w:val="18"/>
        </w:rPr>
        <w:t>本文件所列价格为参考起价，实际范围与报价以双方确认的项目建议书为准。</w:t>
      </w:r>
    </w:p>
    <w:p>
      <w:pPr>
        <w:sectPr>
          <w:footerReference w:type="default" r:id="rId9"/>
          <w:pgSz w:w="11906" w:h="16838"/>
          <w:pgMar w:top="1440" w:right="1440" w:bottom="1440" w:left="1440" w:header="709" w:footer="709" w:gutter="0"/>
          <w:cols w:space="720"/>
          <w:docGrid w:linePitch="360"/>
        </w:sectPr>
      </w:pPr>
    </w:p>
    <w:p>
      <w:pPr>
        <w:pStyle w:val="Heading1"/>
        <w:keepNext/>
      </w:pPr>
      <w:r>
        <w:t>内容导览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本白皮书用于帮助零售企业管理层、业务负责人、IT负责人和项目团队快速了解简益咨询能够解决的问题、合作方式、项目方法和代表性实践。</w:t>
      </w:r>
    </w:p>
    <w:p>
      <w:pPr>
        <w:pStyle w:val="ListBody"/>
        <w:numPr>
          <w:ilvl w:val="0"/>
          <w:numId w:val="10"/>
        </w:numPr>
      </w:pPr>
      <w:r>
        <w:rPr>
          <w:rFonts w:ascii="Heiti SC" w:hAnsi="Heiti SC" w:eastAsia="Heiti SC"/>
          <w:color w:val="1A1A1A"/>
          <w:sz w:val="21"/>
        </w:rPr>
        <w:t>核心观点：为什么许多经营与数字化项目难以形成闭环</w:t>
      </w:r>
    </w:p>
    <w:p>
      <w:pPr>
        <w:pStyle w:val="ListBody"/>
        <w:numPr>
          <w:ilvl w:val="0"/>
          <w:numId w:val="10"/>
        </w:numPr>
      </w:pPr>
      <w:r>
        <w:rPr>
          <w:rFonts w:ascii="Heiti SC" w:hAnsi="Heiti SC" w:eastAsia="Heiti SC"/>
          <w:color w:val="1A1A1A"/>
          <w:sz w:val="21"/>
        </w:rPr>
        <w:t>服务体系：四类服务对应的管理问题与交付结果</w:t>
      </w:r>
    </w:p>
    <w:p>
      <w:pPr>
        <w:pStyle w:val="ListBody"/>
        <w:numPr>
          <w:ilvl w:val="0"/>
          <w:numId w:val="10"/>
        </w:numPr>
      </w:pPr>
      <w:r>
        <w:rPr>
          <w:rFonts w:ascii="Heiti SC" w:hAnsi="Heiti SC" w:eastAsia="Heiti SC"/>
          <w:color w:val="1A1A1A"/>
          <w:sz w:val="21"/>
        </w:rPr>
        <w:t>产品化合作方案：从诊断、方案设计到实施陪跑</w:t>
      </w:r>
    </w:p>
    <w:p>
      <w:pPr>
        <w:pStyle w:val="ListBody"/>
        <w:numPr>
          <w:ilvl w:val="0"/>
          <w:numId w:val="10"/>
        </w:numPr>
      </w:pPr>
      <w:r>
        <w:rPr>
          <w:rFonts w:ascii="Heiti SC" w:hAnsi="Heiti SC" w:eastAsia="Heiti SC"/>
          <w:color w:val="1A1A1A"/>
          <w:sz w:val="21"/>
        </w:rPr>
        <w:t>专项服务说明：服务边界、工作内容与主要交付</w:t>
      </w:r>
    </w:p>
    <w:p>
      <w:pPr>
        <w:pStyle w:val="ListBody"/>
        <w:numPr>
          <w:ilvl w:val="0"/>
          <w:numId w:val="10"/>
        </w:numPr>
      </w:pPr>
      <w:r>
        <w:rPr>
          <w:rFonts w:ascii="Heiti SC" w:hAnsi="Heiti SC" w:eastAsia="Heiti SC"/>
          <w:color w:val="1A1A1A"/>
          <w:sz w:val="21"/>
        </w:rPr>
        <w:t>案例与最佳实践：ERP、品类管理、IT规划与产品设计</w:t>
      </w:r>
    </w:p>
    <w:p>
      <w:pPr>
        <w:pStyle w:val="ListBody"/>
        <w:numPr>
          <w:ilvl w:val="0"/>
          <w:numId w:val="10"/>
        </w:numPr>
      </w:pPr>
      <w:r>
        <w:rPr>
          <w:rFonts w:ascii="Heiti SC" w:hAnsi="Heiti SC" w:eastAsia="Heiti SC"/>
          <w:color w:val="1A1A1A"/>
          <w:sz w:val="21"/>
        </w:rPr>
        <w:t>项目方法与治理机制：五步工作法及双方责任</w:t>
      </w:r>
    </w:p>
    <w:p>
      <w:pPr>
        <w:pStyle w:val="ListBody"/>
        <w:numPr>
          <w:ilvl w:val="0"/>
          <w:numId w:val="10"/>
        </w:numPr>
      </w:pPr>
      <w:r>
        <w:rPr>
          <w:rFonts w:ascii="Heiti SC" w:hAnsi="Heiti SC" w:eastAsia="Heiti SC"/>
          <w:color w:val="1A1A1A"/>
          <w:sz w:val="21"/>
        </w:rPr>
        <w:t>如何启动合作：项目讨论前的准备清单</w:t>
      </w:r>
    </w:p>
    <w:p>
      <w:pPr>
        <w:pStyle w:val="ListBody"/>
        <w:numPr>
          <w:ilvl w:val="0"/>
          <w:numId w:val="10"/>
        </w:numPr>
      </w:pPr>
      <w:r>
        <w:rPr>
          <w:rFonts w:ascii="Heiti SC" w:hAnsi="Heiti SC" w:eastAsia="Heiti SC"/>
          <w:color w:val="1A1A1A"/>
          <w:sz w:val="21"/>
        </w:rPr>
        <w:t>关于简益：跨零售企业、软件公司和新零售平台的经验视角</w:t>
      </w:r>
    </w:p>
    <w:p>
      <w:pPr>
        <w:pStyle w:val="Callout"/>
        <w:shd w:fill="F2F4F3"/>
        <w:pBdr>
          <w:left w:val="single" w:sz="20" w:space="8" w:color="1F4E3D"/>
        </w:pBdr>
      </w:pPr>
      <w:r>
        <w:rPr>
          <w:rFonts w:ascii="Heiti SC" w:hAnsi="Heiti SC" w:eastAsia="Heiti SC"/>
          <w:b/>
          <w:color w:val="1F4E3D"/>
          <w:sz w:val="21"/>
        </w:rPr>
        <w:t xml:space="preserve">阅读建议  </w:t>
      </w:r>
      <w:r>
        <w:rPr>
          <w:rFonts w:ascii="Heiti SC" w:hAnsi="Heiti SC" w:eastAsia="Heiti SC"/>
          <w:color w:val="1A1A1A"/>
          <w:sz w:val="21"/>
        </w:rPr>
        <w:t>如果课题尚不清晰，先阅读“核心观点”和“产品化合作方案”；如果项目已经启动，重点阅读“案例与最佳实践”及“项目方法与治理机制”。</w:t>
      </w:r>
    </w:p>
    <w:p>
      <w:pPr>
        <w:pStyle w:val="Heading2"/>
        <w:keepNext/>
      </w:pPr>
      <w:r>
        <w:t>文档定位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本文件是服务介绍与项目讨论材料，不替代针对具体企业的诊断、需求分析和正式项目建议书。案例采用匿名化及概括性表达，避免将阶段性项目成果表述为未经验证的长期经营结果。</w:t>
      </w:r>
    </w:p>
    <w:p>
      <w:r>
        <w:br w:type="page"/>
      </w:r>
    </w:p>
    <w:p>
      <w:pPr>
        <w:pStyle w:val="Heading1"/>
        <w:keepNext/>
      </w:pPr>
      <w:r>
        <w:t>1. 核心观点：企业需要的不只是一个方案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24000" cy="1908000"/>
            <wp:docPr id="1" name="Picture 1" title="章节导读｜经营目标、业务动作、数据证据与数字系统形成管理闭环" descr="零售现场、管理会议、数据分析与系统架构连接成闭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re-ide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ascii="Heiti SC" w:hAnsi="Heiti SC" w:eastAsia="Heiti SC"/>
          <w:color w:val="6B6B6B"/>
          <w:sz w:val="17"/>
        </w:rPr>
        <w:t>章节导读｜经营目标、业务动作、数据证据与数字系统形成管理闭环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许多零售项目的问题，并非团队缺少努力或供应商缺少功能，而是经营目标、业务规则、系统能力和项目责任没有在同一框架中被持续管理。</w:t>
      </w:r>
    </w:p>
    <w:p>
      <w:pPr>
        <w:pStyle w:val="Heading2"/>
        <w:keepNext/>
      </w:pPr>
      <w:r>
        <w:t>1.1 常见表面现象</w:t>
      </w:r>
    </w:p>
    <w:p>
      <w:pPr>
        <w:pStyle w:val="ListBody"/>
        <w:numPr>
          <w:ilvl w:val="0"/>
          <w:numId w:val="11"/>
        </w:numPr>
      </w:pPr>
      <w:r>
        <w:rPr>
          <w:rFonts w:ascii="Heiti SC" w:hAnsi="Heiti SC" w:eastAsia="Heiti SC"/>
          <w:color w:val="1A1A1A"/>
          <w:sz w:val="21"/>
        </w:rPr>
        <w:t>报表数量持续增加，但管理动作没有同步形成。</w:t>
      </w:r>
    </w:p>
    <w:p>
      <w:pPr>
        <w:pStyle w:val="ListBody"/>
        <w:numPr>
          <w:ilvl w:val="0"/>
          <w:numId w:val="11"/>
        </w:numPr>
      </w:pPr>
      <w:r>
        <w:rPr>
          <w:rFonts w:ascii="Heiti SC" w:hAnsi="Heiti SC" w:eastAsia="Heiti SC"/>
          <w:color w:val="1A1A1A"/>
          <w:sz w:val="21"/>
        </w:rPr>
        <w:t>系统逐步增多，但关键流程仍依赖人工协调和线下判断。</w:t>
      </w:r>
    </w:p>
    <w:p>
      <w:pPr>
        <w:pStyle w:val="ListBody"/>
        <w:numPr>
          <w:ilvl w:val="0"/>
          <w:numId w:val="11"/>
        </w:numPr>
      </w:pPr>
      <w:r>
        <w:rPr>
          <w:rFonts w:ascii="Heiti SC" w:hAnsi="Heiti SC" w:eastAsia="Heiti SC"/>
          <w:color w:val="1A1A1A"/>
          <w:sz w:val="21"/>
        </w:rPr>
        <w:t>项目会议频繁召开，但问题、责任与决策长期悬而未决。</w:t>
      </w:r>
    </w:p>
    <w:p>
      <w:pPr>
        <w:pStyle w:val="Heading2"/>
        <w:keepNext/>
      </w:pPr>
      <w:r>
        <w:t>1.2 深层原因与管理后果</w:t>
      </w:r>
    </w:p>
    <w:tbl>
      <w:tblPr>
        <w:tblW w:type="dxa" w:w="9026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100"/>
        <w:gridCol w:w="3600"/>
        <w:gridCol w:w="3326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深层原因</w:t>
            </w:r>
          </w:p>
        </w:tc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33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管理后果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目标口径没有统一</w:t>
            </w:r>
          </w:p>
        </w:tc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业务、财务和IT使用不同定义讨论同一问题</w:t>
            </w:r>
          </w:p>
        </w:tc>
        <w:tc>
          <w:tcPr>
            <w:tcW w:type="dxa" w:w="33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决策周期延长，结果难以比较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规则与系统彼此脱节</w:t>
            </w:r>
          </w:p>
        </w:tc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业务规则未进入流程和系统，或系统逻辑脱离现场</w:t>
            </w:r>
          </w:p>
        </w:tc>
        <w:tc>
          <w:tcPr>
            <w:tcW w:type="dxa" w:w="33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返工增加，数据可信度下降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责任边界缺少闭环</w:t>
            </w:r>
          </w:p>
        </w:tc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问题没有明确责任人、决策人和验收标准</w:t>
            </w:r>
          </w:p>
        </w:tc>
        <w:tc>
          <w:tcPr>
            <w:tcW w:type="dxa" w:w="33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风险持续积累，经验难以复制</w:t>
            </w:r>
          </w:p>
        </w:tc>
      </w:tr>
    </w:tbl>
    <w:p>
      <w:pPr>
        <w:spacing w:after="0"/>
      </w:pPr>
    </w:p>
    <w:p>
      <w:pPr>
        <w:pStyle w:val="Callout"/>
        <w:shd w:fill="F2F4F3"/>
        <w:pBdr>
          <w:left w:val="single" w:sz="20" w:space="8" w:color="1F4E3D"/>
        </w:pBdr>
      </w:pPr>
      <w:r>
        <w:rPr>
          <w:rFonts w:ascii="Heiti SC" w:hAnsi="Heiti SC" w:eastAsia="Heiti SC"/>
          <w:b/>
          <w:color w:val="1F4E3D"/>
          <w:sz w:val="21"/>
        </w:rPr>
        <w:t xml:space="preserve">简益的工作  </w:t>
      </w:r>
      <w:r>
        <w:rPr>
          <w:rFonts w:ascii="Heiti SC" w:hAnsi="Heiti SC" w:eastAsia="Heiti SC"/>
          <w:color w:val="1A1A1A"/>
          <w:sz w:val="21"/>
        </w:rPr>
        <w:t>把经营问题翻译成可执行的项目，把项目方案组织成可管理的过程，再通过测试、复盘和验收验证交付是否真正发生。</w:t>
      </w:r>
    </w:p>
    <w:p>
      <w:pPr>
        <w:pStyle w:val="Heading1"/>
        <w:keepNext/>
      </w:pPr>
      <w:r>
        <w:t>2. 服务体系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24000" cy="1908000"/>
            <wp:docPr id="2" name="Picture 2" title="章节导读｜四类专业能力围绕同一个经营问题协同工作" descr="经营咨询、项目管理、产品设计和IT规划围绕零售经营核心协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rvice-syst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ascii="Heiti SC" w:hAnsi="Heiti SC" w:eastAsia="Heiti SC"/>
          <w:color w:val="6B6B6B"/>
          <w:sz w:val="17"/>
        </w:rPr>
        <w:t>章节导读｜四类专业能力围绕同一个经营问题协同工作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简益咨询围绕零售经营、IT规划、项目实施和业务产品设计提供四类服务。服务可以单独采购，也可以根据项目阶段组合。</w:t>
      </w:r>
    </w:p>
    <w:tbl>
      <w:tblPr>
        <w:tblW w:type="dxa" w:w="9026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900"/>
        <w:gridCol w:w="2050"/>
        <w:gridCol w:w="2650"/>
        <w:gridCol w:w="2426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服务方向</w:t>
            </w:r>
          </w:p>
        </w:tc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管理层要回答</w:t>
            </w:r>
          </w:p>
        </w:tc>
        <w:tc>
          <w:tcPr>
            <w:tcW w:type="dxa" w:w="26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关键工作</w:t>
            </w:r>
          </w:p>
        </w:tc>
        <w:tc>
          <w:tcPr>
            <w:tcW w:type="dxa" w:w="2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主要交付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7"/>
              </w:rPr>
              <w:t>S01 零售经营与品类咨询</w:t>
            </w:r>
          </w:p>
        </w:tc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7"/>
              </w:rPr>
              <w:t>经营问题在哪里，应该先改什么？</w:t>
            </w:r>
          </w:p>
        </w:tc>
        <w:tc>
          <w:tcPr>
            <w:tcW w:type="dxa" w:w="26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7"/>
              </w:rPr>
              <w:t>经营诊断、指标口径、品类策略、动作设计、复盘机制</w:t>
            </w:r>
          </w:p>
        </w:tc>
        <w:tc>
          <w:tcPr>
            <w:tcW w:type="dxa" w:w="2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7"/>
              </w:rPr>
              <w:t>问题地图、行动清单、试点与复盘方案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7"/>
              </w:rPr>
              <w:t>S02 IT战略、规划与系统选型</w:t>
            </w:r>
          </w:p>
        </w:tc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7"/>
              </w:rPr>
              <w:t>系统为什么建设，先后顺序是什么？</w:t>
            </w:r>
          </w:p>
        </w:tc>
        <w:tc>
          <w:tcPr>
            <w:tcW w:type="dxa" w:w="26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7"/>
              </w:rPr>
              <w:t>业务蓝图、应用架构、系统边界、需求框架、选型支持</w:t>
            </w:r>
          </w:p>
        </w:tc>
        <w:tc>
          <w:tcPr>
            <w:tcW w:type="dxa" w:w="2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7"/>
              </w:rPr>
              <w:t>IT规划蓝图、项目路线图、选型与决策依据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7"/>
              </w:rPr>
              <w:t>S03 ERP/WMS实施与甲方PMO</w:t>
            </w:r>
          </w:p>
        </w:tc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7"/>
              </w:rPr>
              <w:t>如何控制范围、风险、进度和验收？</w:t>
            </w:r>
          </w:p>
        </w:tc>
        <w:tc>
          <w:tcPr>
            <w:tcW w:type="dxa" w:w="26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7"/>
              </w:rPr>
              <w:t>范围管理、计划推进、跨方协调、测试验收、上线陪跑</w:t>
            </w:r>
          </w:p>
        </w:tc>
        <w:tc>
          <w:tcPr>
            <w:tcW w:type="dxa" w:w="2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7"/>
              </w:rPr>
              <w:t>项目台账、风险与决策机制、验收与移交体系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7"/>
              </w:rPr>
              <w:t>S04 业务产品与数据工具设计</w:t>
            </w:r>
          </w:p>
        </w:tc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7"/>
              </w:rPr>
              <w:t>复杂业务如何转化为可用产品？</w:t>
            </w:r>
          </w:p>
        </w:tc>
        <w:tc>
          <w:tcPr>
            <w:tcW w:type="dxa" w:w="26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7"/>
              </w:rPr>
              <w:t>角色流程、状态权限、PRD、数据模型、原型与场景验证</w:t>
            </w:r>
          </w:p>
        </w:tc>
        <w:tc>
          <w:tcPr>
            <w:tcW w:type="dxa" w:w="2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7"/>
              </w:rPr>
              <w:t>产品方案、关键原型、可开发需求包</w:t>
            </w:r>
          </w:p>
        </w:tc>
      </w:tr>
    </w:tbl>
    <w:p>
      <w:pPr>
        <w:spacing w:after="0"/>
      </w:pPr>
    </w:p>
    <w:p>
      <w:pPr>
        <w:pStyle w:val="TableCitation"/>
      </w:pPr>
      <w:r>
        <w:rPr>
          <w:rFonts w:ascii="Heiti SC" w:hAnsi="Heiti SC" w:eastAsia="Heiti SC"/>
          <w:color w:val="6B6B6B"/>
          <w:sz w:val="17"/>
        </w:rPr>
        <w:t>组合建议：课题尚不清晰，优先采用 S01；系统建设前采用 S02；项目推进复杂时引入 S03；新工具或业务平台建设采用 S04。</w:t>
      </w:r>
    </w:p>
    <w:p>
      <w:r>
        <w:br w:type="page"/>
      </w:r>
    </w:p>
    <w:p>
      <w:pPr>
        <w:pStyle w:val="Heading1"/>
        <w:keepNext/>
      </w:pPr>
      <w:r>
        <w:t>3. 产品化合作方案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24000" cy="1908000"/>
            <wp:docPr id="3" name="Picture 3" title="章节导读｜从问题诊断、方案设计到实施陪跑的递进式合作" descr="三个递进阶段依次呈现诊断、方案设计和实施支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gagement-packa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ascii="Heiti SC" w:hAnsi="Heiti SC" w:eastAsia="Heiti SC"/>
          <w:color w:val="6B6B6B"/>
          <w:sz w:val="17"/>
        </w:rPr>
        <w:t>章节导读｜从问题诊断、方案设计到实施陪跑的递进式合作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合作方案按照客户所处阶段划分。参考起价用于建立预算预期，正式报价将根据项目范围、组织复杂度、现场投入、数据条件和交付深度确定。</w:t>
      </w:r>
    </w:p>
    <w:tbl>
      <w:tblPr>
        <w:tblW w:type="dxa" w:w="9026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100"/>
        <w:gridCol w:w="2150"/>
        <w:gridCol w:w="3350"/>
        <w:gridCol w:w="1426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合作方案</w:t>
            </w:r>
          </w:p>
        </w:tc>
        <w:tc>
          <w:tcPr>
            <w:tcW w:type="dxa" w:w="21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适用情形</w:t>
            </w:r>
          </w:p>
        </w:tc>
        <w:tc>
          <w:tcPr>
            <w:tcW w:type="dxa" w:w="33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核心范围</w:t>
            </w:r>
          </w:p>
        </w:tc>
        <w:tc>
          <w:tcPr>
            <w:tcW w:type="dxa" w:w="1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参考起价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经营诊断与项目定义</w:t>
            </w:r>
          </w:p>
        </w:tc>
        <w:tc>
          <w:tcPr>
            <w:tcW w:type="dxa" w:w="21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问题复杂，方向尚未统一</w:t>
            </w:r>
          </w:p>
        </w:tc>
        <w:tc>
          <w:tcPr>
            <w:tcW w:type="dxa" w:w="33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关键访谈与资料诊断；问题地图与优先级；项目定义与行动建议</w:t>
            </w:r>
          </w:p>
        </w:tc>
        <w:tc>
          <w:tcPr>
            <w:tcW w:type="dxa" w:w="1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¥28,000 起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专项咨询与方案设计</w:t>
            </w:r>
          </w:p>
        </w:tc>
        <w:tc>
          <w:tcPr>
            <w:tcW w:type="dxa" w:w="21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课题明确，需要形成系统方案</w:t>
            </w:r>
          </w:p>
        </w:tc>
        <w:tc>
          <w:tcPr>
            <w:tcW w:type="dxa" w:w="33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现状与目标模型；业务或系统方案设计；试点、指标与实施路径</w:t>
            </w:r>
          </w:p>
        </w:tc>
        <w:tc>
          <w:tcPr>
            <w:tcW w:type="dxa" w:w="1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¥88,000 起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实施陪跑与项目管理</w:t>
            </w:r>
          </w:p>
        </w:tc>
        <w:tc>
          <w:tcPr>
            <w:tcW w:type="dxa" w:w="21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多部门、多供应商或关键上线项目</w:t>
            </w:r>
          </w:p>
        </w:tc>
        <w:tc>
          <w:tcPr>
            <w:tcW w:type="dxa" w:w="33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计划、范围与风险管理；跨方协同与决策机制；测试验收与上线陪跑</w:t>
            </w:r>
          </w:p>
        </w:tc>
        <w:tc>
          <w:tcPr>
            <w:tcW w:type="dxa" w:w="1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¥168,000 起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报价通常受哪些因素影响</w:t>
      </w:r>
    </w:p>
    <w:p>
      <w:pPr>
        <w:pStyle w:val="ListBody"/>
        <w:numPr>
          <w:ilvl w:val="0"/>
          <w:numId w:val="12"/>
        </w:numPr>
      </w:pPr>
      <w:r>
        <w:rPr>
          <w:rFonts w:ascii="Heiti SC" w:hAnsi="Heiti SC" w:eastAsia="Heiti SC"/>
          <w:color w:val="1A1A1A"/>
          <w:sz w:val="21"/>
        </w:rPr>
        <w:t>项目覆盖的业态、区域、门店、部门和系统数量。</w:t>
      </w:r>
    </w:p>
    <w:p>
      <w:pPr>
        <w:pStyle w:val="ListBody"/>
        <w:numPr>
          <w:ilvl w:val="0"/>
          <w:numId w:val="12"/>
        </w:numPr>
      </w:pPr>
      <w:r>
        <w:rPr>
          <w:rFonts w:ascii="Heiti SC" w:hAnsi="Heiti SC" w:eastAsia="Heiti SC"/>
          <w:color w:val="1A1A1A"/>
          <w:sz w:val="21"/>
        </w:rPr>
        <w:t>是否需要现场驻场、跨城市访谈、供应商协调或上线陪跑。</w:t>
      </w:r>
    </w:p>
    <w:p>
      <w:pPr>
        <w:pStyle w:val="ListBody"/>
        <w:numPr>
          <w:ilvl w:val="0"/>
          <w:numId w:val="12"/>
        </w:numPr>
      </w:pPr>
      <w:r>
        <w:rPr>
          <w:rFonts w:ascii="Heiti SC" w:hAnsi="Heiti SC" w:eastAsia="Heiti SC"/>
          <w:color w:val="1A1A1A"/>
          <w:sz w:val="21"/>
        </w:rPr>
        <w:t>数据质量、现有文档完整度以及客户团队可投入的资源。</w:t>
      </w:r>
    </w:p>
    <w:p>
      <w:pPr>
        <w:pStyle w:val="ListBody"/>
        <w:numPr>
          <w:ilvl w:val="0"/>
          <w:numId w:val="12"/>
        </w:numPr>
      </w:pPr>
      <w:r>
        <w:rPr>
          <w:rFonts w:ascii="Heiti SC" w:hAnsi="Heiti SC" w:eastAsia="Heiti SC"/>
          <w:color w:val="1A1A1A"/>
          <w:sz w:val="21"/>
        </w:rPr>
        <w:t>交付物深度，包括诊断报告、业务蓝图、详细方案、PRD、测试与验收材料等。</w:t>
      </w:r>
    </w:p>
    <w:p>
      <w:pPr>
        <w:pStyle w:val="Callout"/>
        <w:shd w:fill="F2F4F3"/>
        <w:pBdr>
          <w:left w:val="single" w:sz="20" w:space="8" w:color="1F4E3D"/>
        </w:pBdr>
      </w:pPr>
      <w:r>
        <w:rPr>
          <w:rFonts w:ascii="Heiti SC" w:hAnsi="Heiti SC" w:eastAsia="Heiti SC"/>
          <w:b/>
          <w:color w:val="1F4E3D"/>
          <w:sz w:val="21"/>
        </w:rPr>
        <w:t xml:space="preserve">报价原则  </w:t>
      </w:r>
      <w:r>
        <w:rPr>
          <w:rFonts w:ascii="Heiti SC" w:hAnsi="Heiti SC" w:eastAsia="Heiti SC"/>
          <w:color w:val="1A1A1A"/>
          <w:sz w:val="21"/>
        </w:rPr>
        <w:t>先确定要解决的问题、工作边界和验收标准，再讨论投入与价格。价格不应脱离项目责任和交付深度单独比较。</w:t>
      </w:r>
    </w:p>
    <w:p>
      <w:pPr>
        <w:pStyle w:val="Heading1"/>
        <w:keepNext/>
      </w:pPr>
      <w:r>
        <w:t>4. 专项服务说明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24000" cy="1908000"/>
            <wp:docPr id="4" name="Picture 4" title="章节导读｜把流程、角色、产品规则和系统规划组织成可执行方案" descr="工作台连接流程、角色、产品蓝图和IT架构四类专业分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pecialist-servi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ascii="Heiti SC" w:hAnsi="Heiti SC" w:eastAsia="Heiti SC"/>
          <w:color w:val="6B6B6B"/>
          <w:sz w:val="17"/>
        </w:rPr>
        <w:t>章节导读｜把流程、角色、产品规则和系统规划组织成可执行方案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四项专项服务分别对应经营改进、系统规划、项目交付和产品设计问题。下表保留服务边界、典型工作和主要交付，便于管理层直接比较与组合采购。</w:t>
      </w:r>
    </w:p>
    <w:tbl>
      <w:tblPr>
        <w:tblW w:type="dxa" w:w="9026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600"/>
        <w:gridCol w:w="2400"/>
        <w:gridCol w:w="2950"/>
        <w:gridCol w:w="2076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专项服务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适用情形</w:t>
            </w:r>
          </w:p>
        </w:tc>
        <w:tc>
          <w:tcPr>
            <w:tcW w:type="dxa" w:w="29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典型工作</w:t>
            </w:r>
          </w:p>
        </w:tc>
        <w:tc>
          <w:tcPr>
            <w:tcW w:type="dxa" w:w="20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主要交付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6"/>
              </w:rPr>
              <w:t>零售经营与品类咨询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6"/>
              </w:rPr>
              <w:t>适用于经营问题缺少统一判断、指标很多但动作不清晰、品类管理方法难以在门店落地的情况。</w:t>
            </w:r>
          </w:p>
        </w:tc>
        <w:tc>
          <w:tcPr>
            <w:tcW w:type="dxa" w:w="29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6"/>
              </w:rPr>
              <w:t>经营现状访谈与问题诊断；指标口径、经营分析和问题优先级；品类角色、商品结构与门店动作设计；试点范围、复盘机制和扩大条件设计</w:t>
            </w:r>
          </w:p>
        </w:tc>
        <w:tc>
          <w:tcPr>
            <w:tcW w:type="dxa" w:w="20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6"/>
              </w:rPr>
              <w:t>经营问题地图；指标与分析框架；行动清单及责任建议；试点与复盘方案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6"/>
              </w:rPr>
              <w:t>IT战略、规划与系统选型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6"/>
              </w:rPr>
              <w:t>适用于系统较多但边界不清、建设顺序缺少依据，或新项目需要从业务蓝图出发规划系统能力的情况。</w:t>
            </w:r>
          </w:p>
        </w:tc>
        <w:tc>
          <w:tcPr>
            <w:tcW w:type="dxa" w:w="29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6"/>
              </w:rPr>
              <w:t>业务战略与关键能力梳理；应用架构、数据关系和系统边界设计；建设优先级、项目分期与组织协同建议；需求框架、供应商选型和方案评审支持</w:t>
            </w:r>
          </w:p>
        </w:tc>
        <w:tc>
          <w:tcPr>
            <w:tcW w:type="dxa" w:w="20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6"/>
              </w:rPr>
              <w:t>业务与IT规划蓝图；系统边界及项目路线图；需求与选型框架；管理层决策材料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6"/>
              </w:rPr>
              <w:t>ERP/WMS实施与甲方PMO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6"/>
              </w:rPr>
              <w:t>适用于实施范围复杂、跨部门和跨供应商协作频繁，或甲方需要增强项目控制、测试验收与上线管理能力的情况。</w:t>
            </w:r>
          </w:p>
        </w:tc>
        <w:tc>
          <w:tcPr>
            <w:tcW w:type="dxa" w:w="29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6"/>
              </w:rPr>
              <w:t>项目范围、里程碑和计划管理；问题、风险、变更和决策台账；业务、IT与供应商之间的跨方协调；测试、上线、验收和移交组织</w:t>
            </w:r>
          </w:p>
        </w:tc>
        <w:tc>
          <w:tcPr>
            <w:tcW w:type="dxa" w:w="20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6"/>
              </w:rPr>
              <w:t>项目治理机制与台账；关键会议及决策材料；测试与验收体系；上线及移交建议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6"/>
              </w:rPr>
              <w:t>业务产品与数据工具设计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6"/>
              </w:rPr>
              <w:t>适用于业务复杂、角色众多、状态和权限难以说清，或需要把管理方法转化为系统工具的情况。</w:t>
            </w:r>
          </w:p>
        </w:tc>
        <w:tc>
          <w:tcPr>
            <w:tcW w:type="dxa" w:w="295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6"/>
              </w:rPr>
              <w:t>用户角色、业务流程、状态和权限梳理；业务规则、异常场景和关键数据模型；PRD、交互原型及产品方案；场景化评审、测试与验收标准</w:t>
            </w:r>
          </w:p>
        </w:tc>
        <w:tc>
          <w:tcPr>
            <w:tcW w:type="dxa" w:w="20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6"/>
              </w:rPr>
              <w:t>产品需求文档；关键流程与交互原型；业务规则和数据模型；可开发、可测试的需求包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案例与最佳实践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24000" cy="1908000"/>
            <wp:docPr id="5" name="Picture 5" title="章节导读｜用项目路径和形成的管理基础说明实践价值" descr="ERP、品类管理、购物中心IT规划和业务产品设计四类匿名案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ascii="Heiti SC" w:hAnsi="Heiti SC" w:eastAsia="Heiti SC"/>
          <w:color w:val="6B6B6B"/>
          <w:sz w:val="17"/>
        </w:rPr>
        <w:t>章节导读｜用项目路径和形成的管理基础说明实践价值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以下案例来自过往项目经验的概括性表达。内容重点说明问题结构、工作方法和形成的管理基础，不以未经持续验证的经营数字作为宣传结论。</w:t>
      </w:r>
    </w:p>
    <w:p>
      <w:pPr>
        <w:pStyle w:val="Heading2"/>
        <w:keepNext/>
      </w:pPr>
      <w:r>
        <w:t>5.1 ERP与财务管理：从系统实施走向管理闭环</w:t>
      </w:r>
    </w:p>
    <w:p>
      <w:pPr>
        <w:pStyle w:val="KeyValue"/>
      </w:pPr>
      <w:r>
        <w:rPr>
          <w:rFonts w:ascii="Heiti SC" w:hAnsi="Heiti SC" w:eastAsia="Heiti SC"/>
          <w:b/>
          <w:color w:val="1F4E3D"/>
          <w:sz w:val="21"/>
        </w:rPr>
        <w:t>项目命题：</w:t>
      </w:r>
      <w:r>
        <w:rPr>
          <w:rFonts w:ascii="Heiti SC" w:hAnsi="Heiti SC" w:eastAsia="Heiti SC"/>
          <w:color w:val="1A1A1A"/>
          <w:sz w:val="21"/>
        </w:rPr>
        <w:t>如何让ERP同时服务业务运营、财务核算与管理分析？</w:t>
      </w:r>
    </w:p>
    <w:p>
      <w:pPr>
        <w:pStyle w:val="KeyValue"/>
      </w:pPr>
      <w:r>
        <w:rPr>
          <w:rFonts w:ascii="Heiti SC" w:hAnsi="Heiti SC" w:eastAsia="Heiti SC"/>
          <w:b/>
          <w:color w:val="1F4E3D"/>
          <w:sz w:val="21"/>
        </w:rPr>
        <w:t>简益角色：</w:t>
      </w:r>
      <w:r>
        <w:rPr>
          <w:rFonts w:ascii="Heiti SC" w:hAnsi="Heiti SC" w:eastAsia="Heiti SC"/>
          <w:color w:val="1A1A1A"/>
          <w:sz w:val="21"/>
        </w:rPr>
        <w:t>业务与财务口径梳理、流程及系统方案协同、项目推进与问题闭环、测试验证与管理应用衔接。</w:t>
      </w:r>
    </w:p>
    <w:p>
      <w:pPr>
        <w:pStyle w:val="Heading3"/>
        <w:keepNext/>
      </w:pPr>
      <w:r>
        <w:t>工作路径</w:t>
      </w:r>
    </w:p>
    <w:p>
      <w:pPr>
        <w:pStyle w:val="ListBody"/>
        <w:numPr>
          <w:ilvl w:val="0"/>
          <w:numId w:val="13"/>
        </w:numPr>
      </w:pPr>
      <w:r>
        <w:rPr>
          <w:rFonts w:ascii="Heiti SC" w:hAnsi="Heiti SC" w:eastAsia="Heiti SC"/>
          <w:color w:val="1A1A1A"/>
          <w:sz w:val="21"/>
        </w:rPr>
        <w:t>统一口径：连接业务数据与财务系统，明确核算和管理分析基础。</w:t>
      </w:r>
    </w:p>
    <w:p>
      <w:pPr>
        <w:pStyle w:val="ListBody"/>
        <w:numPr>
          <w:ilvl w:val="0"/>
          <w:numId w:val="13"/>
        </w:numPr>
      </w:pPr>
      <w:r>
        <w:rPr>
          <w:rFonts w:ascii="Heiti SC" w:hAnsi="Heiti SC" w:eastAsia="Heiti SC"/>
          <w:color w:val="1A1A1A"/>
          <w:sz w:val="21"/>
        </w:rPr>
        <w:t>组织流程：将应收、返利、费用与经营责任放入可追踪流程。</w:t>
      </w:r>
    </w:p>
    <w:p>
      <w:pPr>
        <w:pStyle w:val="ListBody"/>
        <w:numPr>
          <w:ilvl w:val="0"/>
          <w:numId w:val="13"/>
        </w:numPr>
      </w:pPr>
      <w:r>
        <w:rPr>
          <w:rFonts w:ascii="Heiti SC" w:hAnsi="Heiti SC" w:eastAsia="Heiti SC"/>
          <w:color w:val="1A1A1A"/>
          <w:sz w:val="21"/>
        </w:rPr>
        <w:t>系统验证：围绕关键场景测试规则、数据和操作结果。</w:t>
      </w:r>
    </w:p>
    <w:p>
      <w:pPr>
        <w:pStyle w:val="ListBody"/>
        <w:numPr>
          <w:ilvl w:val="0"/>
          <w:numId w:val="13"/>
        </w:numPr>
      </w:pPr>
      <w:r>
        <w:rPr>
          <w:rFonts w:ascii="Heiti SC" w:hAnsi="Heiti SC" w:eastAsia="Heiti SC"/>
          <w:color w:val="1A1A1A"/>
          <w:sz w:val="21"/>
        </w:rPr>
        <w:t>管理应用：支持按部门、柜组等维度查看经营与利润表现。</w:t>
      </w:r>
    </w:p>
    <w:p>
      <w:pPr>
        <w:pStyle w:val="Heading3"/>
        <w:keepNext/>
      </w:pPr>
      <w:r>
        <w:t>形成的管理基础</w:t>
      </w:r>
    </w:p>
    <w:p>
      <w:pPr>
        <w:pStyle w:val="ListBody"/>
        <w:numPr>
          <w:ilvl w:val="0"/>
          <w:numId w:val="14"/>
        </w:numPr>
      </w:pPr>
      <w:r>
        <w:rPr>
          <w:rFonts w:ascii="Heiti SC" w:hAnsi="Heiti SC" w:eastAsia="Heiti SC"/>
          <w:color w:val="1A1A1A"/>
          <w:sz w:val="21"/>
        </w:rPr>
        <w:t>业务数据进入财务体系，并支持部门与柜组层面的利润分析。</w:t>
      </w:r>
    </w:p>
    <w:p>
      <w:pPr>
        <w:pStyle w:val="ListBody"/>
        <w:numPr>
          <w:ilvl w:val="0"/>
          <w:numId w:val="14"/>
        </w:numPr>
      </w:pPr>
      <w:r>
        <w:rPr>
          <w:rFonts w:ascii="Heiti SC" w:hAnsi="Heiti SC" w:eastAsia="Heiti SC"/>
          <w:color w:val="1A1A1A"/>
          <w:sz w:val="21"/>
        </w:rPr>
        <w:t>返利自动化进入线上验证，为应收、ROI和绩效管理提供数据基础。</w:t>
      </w:r>
    </w:p>
    <w:p>
      <w:pPr>
        <w:pStyle w:val="ListBody"/>
        <w:numPr>
          <w:ilvl w:val="0"/>
          <w:numId w:val="14"/>
        </w:numPr>
      </w:pPr>
      <w:r>
        <w:rPr>
          <w:rFonts w:ascii="Heiti SC" w:hAnsi="Heiti SC" w:eastAsia="Heiti SC"/>
          <w:color w:val="1A1A1A"/>
          <w:sz w:val="21"/>
        </w:rPr>
        <w:t>关键业务规则、测试过程与管理应用形成可追踪的项目链路。</w:t>
      </w:r>
    </w:p>
    <w:p>
      <w:pPr>
        <w:pStyle w:val="Heading2"/>
        <w:keepNext/>
      </w:pPr>
      <w:r>
        <w:t>5.2 品类管理试点：先建立可重复的方法</w:t>
      </w:r>
    </w:p>
    <w:p>
      <w:pPr>
        <w:pStyle w:val="KeyValue"/>
      </w:pPr>
      <w:r>
        <w:rPr>
          <w:rFonts w:ascii="Heiti SC" w:hAnsi="Heiti SC" w:eastAsia="Heiti SC"/>
          <w:b/>
          <w:color w:val="1F4E3D"/>
          <w:sz w:val="21"/>
        </w:rPr>
        <w:t>试点设计：</w:t>
      </w:r>
      <w:r>
        <w:rPr>
          <w:rFonts w:ascii="Heiti SC" w:hAnsi="Heiti SC" w:eastAsia="Heiti SC"/>
          <w:color w:val="1A1A1A"/>
          <w:sz w:val="21"/>
        </w:rPr>
        <w:t>1家试点门店、2个功能分类、4轮双周复盘。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品类管理的难点，是把分析结论转化为门店动作，并通过复盘验证哪些方法值得保留。试点按照“分类—指标—动作—复盘”的顺序组织。</w:t>
      </w:r>
    </w:p>
    <w:p>
      <w:pPr>
        <w:pStyle w:val="ListBody"/>
        <w:numPr>
          <w:ilvl w:val="0"/>
          <w:numId w:val="15"/>
        </w:numPr>
      </w:pPr>
      <w:r>
        <w:rPr>
          <w:rFonts w:ascii="Heiti SC" w:hAnsi="Heiti SC" w:eastAsia="Heiti SC"/>
          <w:color w:val="1A1A1A"/>
          <w:sz w:val="21"/>
        </w:rPr>
        <w:t>分类：统一品类角色与消费任务。</w:t>
      </w:r>
    </w:p>
    <w:p>
      <w:pPr>
        <w:pStyle w:val="ListBody"/>
        <w:numPr>
          <w:ilvl w:val="0"/>
          <w:numId w:val="15"/>
        </w:numPr>
      </w:pPr>
      <w:r>
        <w:rPr>
          <w:rFonts w:ascii="Heiti SC" w:hAnsi="Heiti SC" w:eastAsia="Heiti SC"/>
          <w:color w:val="1A1A1A"/>
          <w:sz w:val="21"/>
        </w:rPr>
        <w:t>指标：定义销量、毛利和结构等观察口径。</w:t>
      </w:r>
    </w:p>
    <w:p>
      <w:pPr>
        <w:pStyle w:val="ListBody"/>
        <w:numPr>
          <w:ilvl w:val="0"/>
          <w:numId w:val="15"/>
        </w:numPr>
      </w:pPr>
      <w:r>
        <w:rPr>
          <w:rFonts w:ascii="Heiti SC" w:hAnsi="Heiti SC" w:eastAsia="Heiti SC"/>
          <w:color w:val="1A1A1A"/>
          <w:sz w:val="21"/>
        </w:rPr>
        <w:t>动作：形成商品调整与门店执行动作。</w:t>
      </w:r>
    </w:p>
    <w:p>
      <w:pPr>
        <w:pStyle w:val="ListBody"/>
        <w:numPr>
          <w:ilvl w:val="0"/>
          <w:numId w:val="15"/>
        </w:numPr>
      </w:pPr>
      <w:r>
        <w:rPr>
          <w:rFonts w:ascii="Heiti SC" w:hAnsi="Heiti SC" w:eastAsia="Heiti SC"/>
          <w:color w:val="1A1A1A"/>
          <w:sz w:val="21"/>
        </w:rPr>
        <w:t>复盘：验证结果、识别偏差并修正方法。</w:t>
      </w:r>
    </w:p>
    <w:p>
      <w:pPr>
        <w:pStyle w:val="Callout"/>
        <w:shd w:fill="F2F4F3"/>
        <w:pBdr>
          <w:left w:val="single" w:sz="20" w:space="8" w:color="1F4E3D"/>
        </w:pBdr>
      </w:pPr>
      <w:r>
        <w:rPr>
          <w:rFonts w:ascii="Heiti SC" w:hAnsi="Heiti SC" w:eastAsia="Heiti SC"/>
          <w:b/>
          <w:color w:val="1F4E3D"/>
          <w:sz w:val="21"/>
        </w:rPr>
        <w:t xml:space="preserve">实践结论  </w:t>
      </w:r>
      <w:r>
        <w:rPr>
          <w:rFonts w:ascii="Heiti SC" w:hAnsi="Heiti SC" w:eastAsia="Heiti SC"/>
          <w:color w:val="1A1A1A"/>
          <w:sz w:val="21"/>
        </w:rPr>
        <w:t>先在小范围回答方法是否被理解、指标是否反映动作变化、流程是否具备复制条件，再决定是否扩大。</w:t>
      </w:r>
    </w:p>
    <w:p>
      <w:pPr>
        <w:pStyle w:val="Heading2"/>
        <w:keepNext/>
      </w:pPr>
      <w:r>
        <w:t>5.3 购物中心IT规划：先说清总部与项目边界</w:t>
      </w:r>
    </w:p>
    <w:p>
      <w:pPr>
        <w:pStyle w:val="KeyValue"/>
      </w:pPr>
      <w:r>
        <w:rPr>
          <w:rFonts w:ascii="Heiti SC" w:hAnsi="Heiti SC" w:eastAsia="Heiti SC"/>
          <w:b/>
          <w:color w:val="1F4E3D"/>
          <w:sz w:val="21"/>
        </w:rPr>
        <w:t>管理命题：</w:t>
      </w:r>
      <w:r>
        <w:rPr>
          <w:rFonts w:ascii="Heiti SC" w:hAnsi="Heiti SC" w:eastAsia="Heiti SC"/>
          <w:color w:val="1A1A1A"/>
          <w:sz w:val="21"/>
        </w:rPr>
        <w:t>哪些能力由总部统一，哪些由项目现场承担？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规划围绕招商、运营、物业、会员、预算和BI等能力展开，形成业务蓝图、应用架构、系统边界和建设顺序，并衔接开业筹备、培训、运营支持与项目验收。</w:t>
      </w:r>
    </w:p>
    <w:p>
      <w:pPr>
        <w:pStyle w:val="KeyValue"/>
      </w:pPr>
      <w:r>
        <w:rPr>
          <w:rFonts w:ascii="Heiti SC" w:hAnsi="Heiti SC" w:eastAsia="Heiti SC"/>
          <w:b/>
          <w:color w:val="1F4E3D"/>
          <w:sz w:val="21"/>
        </w:rPr>
        <w:t>主要价值：</w:t>
      </w:r>
      <w:r>
        <w:rPr>
          <w:rFonts w:ascii="Heiti SC" w:hAnsi="Heiti SC" w:eastAsia="Heiti SC"/>
          <w:color w:val="1A1A1A"/>
          <w:sz w:val="21"/>
        </w:rPr>
        <w:t>为管理层决策、供应商选型和分期建设提供统一框架。</w:t>
      </w:r>
    </w:p>
    <w:p>
      <w:pPr>
        <w:pStyle w:val="Heading2"/>
        <w:keepNext/>
      </w:pPr>
      <w:r>
        <w:t>5.4 复杂业务产品设计：把边界与规则转化为产品</w:t>
      </w:r>
    </w:p>
    <w:p>
      <w:pPr>
        <w:pStyle w:val="KeyValue"/>
      </w:pPr>
      <w:r>
        <w:rPr>
          <w:rFonts w:ascii="Heiti SC" w:hAnsi="Heiti SC" w:eastAsia="Heiti SC"/>
          <w:b/>
          <w:color w:val="1F4E3D"/>
          <w:sz w:val="21"/>
        </w:rPr>
        <w:t>设计命题：</w:t>
      </w:r>
      <w:r>
        <w:rPr>
          <w:rFonts w:ascii="Heiti SC" w:hAnsi="Heiti SC" w:eastAsia="Heiti SC"/>
          <w:color w:val="1A1A1A"/>
          <w:sz w:val="21"/>
        </w:rPr>
        <w:t>复杂业务如何被不同角色正确理解和操作？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围绕角色、流程、状态、权限、异常和关键数据模型开展设计，通过PRD、交互原型、业务规则和场景化验收标准形成可评审、可开发、可测试的需求与产品方案。</w:t>
      </w:r>
    </w:p>
    <w:p>
      <w:pPr>
        <w:pStyle w:val="Callout"/>
        <w:shd w:fill="F2F4F3"/>
        <w:pBdr>
          <w:left w:val="single" w:sz="20" w:space="8" w:color="1F4E3D"/>
        </w:pBdr>
      </w:pPr>
      <w:r>
        <w:rPr>
          <w:rFonts w:ascii="Heiti SC" w:hAnsi="Heiti SC" w:eastAsia="Heiti SC"/>
          <w:b/>
          <w:color w:val="1F4E3D"/>
          <w:sz w:val="21"/>
        </w:rPr>
        <w:t xml:space="preserve">共同原则  </w:t>
      </w:r>
      <w:r>
        <w:rPr>
          <w:rFonts w:ascii="Heiti SC" w:hAnsi="Heiti SC" w:eastAsia="Heiti SC"/>
          <w:color w:val="1A1A1A"/>
          <w:sz w:val="21"/>
        </w:rPr>
        <w:t>文件完成并不等于项目完成。交付应同时满足管理层能决策、项目团队能执行、业务现场能验证。</w:t>
      </w:r>
    </w:p>
    <w:p>
      <w:r>
        <w:br w:type="page"/>
      </w:r>
    </w:p>
    <w:p>
      <w:pPr>
        <w:pStyle w:val="Heading1"/>
        <w:keepNext/>
      </w:pPr>
      <w:r>
        <w:t>6. 项目方法与治理机制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24000" cy="1908000"/>
            <wp:docPr id="6" name="Picture 6" title="章节导读｜五步项目方法与清晰的双方责任共同控制交付质量" descr="五个项目阶段与客户、顾问两条责任路径在决策点汇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overn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ascii="Heiti SC" w:hAnsi="Heiti SC" w:eastAsia="Heiti SC"/>
          <w:color w:val="6B6B6B"/>
          <w:sz w:val="17"/>
        </w:rPr>
        <w:t>章节导读｜五步项目方法与清晰的双方责任共同控制交付质量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咨询价值来自专业判断，也来自清晰的决策机制、责任分工和持续验证。简益通常按照以下五个环节组织项目。</w:t>
      </w:r>
    </w:p>
    <w:p>
      <w:pPr>
        <w:pStyle w:val="ListBody"/>
        <w:numPr>
          <w:ilvl w:val="0"/>
          <w:numId w:val="16"/>
        </w:numPr>
      </w:pPr>
      <w:r>
        <w:rPr>
          <w:rFonts w:ascii="Heiti SC" w:hAnsi="Heiti SC" w:eastAsia="Heiti SC"/>
          <w:color w:val="1A1A1A"/>
          <w:sz w:val="21"/>
        </w:rPr>
        <w:t>识别课题：明确项目要解决的经营或管理问题。</w:t>
      </w:r>
    </w:p>
    <w:p>
      <w:pPr>
        <w:pStyle w:val="ListBody"/>
        <w:numPr>
          <w:ilvl w:val="0"/>
          <w:numId w:val="16"/>
        </w:numPr>
      </w:pPr>
      <w:r>
        <w:rPr>
          <w:rFonts w:ascii="Heiti SC" w:hAnsi="Heiti SC" w:eastAsia="Heiti SC"/>
          <w:color w:val="1A1A1A"/>
          <w:sz w:val="21"/>
        </w:rPr>
        <w:t>统一事实：通过访谈、资料和数据建立共同事实基础。</w:t>
      </w:r>
    </w:p>
    <w:p>
      <w:pPr>
        <w:pStyle w:val="ListBody"/>
        <w:numPr>
          <w:ilvl w:val="0"/>
          <w:numId w:val="16"/>
        </w:numPr>
      </w:pPr>
      <w:r>
        <w:rPr>
          <w:rFonts w:ascii="Heiti SC" w:hAnsi="Heiti SC" w:eastAsia="Heiti SC"/>
          <w:color w:val="1A1A1A"/>
          <w:sz w:val="21"/>
        </w:rPr>
        <w:t>设计方案：形成目标模型、关键取舍与实施路径。</w:t>
      </w:r>
    </w:p>
    <w:p>
      <w:pPr>
        <w:pStyle w:val="ListBody"/>
        <w:numPr>
          <w:ilvl w:val="0"/>
          <w:numId w:val="16"/>
        </w:numPr>
      </w:pPr>
      <w:r>
        <w:rPr>
          <w:rFonts w:ascii="Heiti SC" w:hAnsi="Heiti SC" w:eastAsia="Heiti SC"/>
          <w:color w:val="1A1A1A"/>
          <w:sz w:val="21"/>
        </w:rPr>
        <w:t>组织实施：管理计划、范围、风险、问题和跨方协同。</w:t>
      </w:r>
    </w:p>
    <w:p>
      <w:pPr>
        <w:pStyle w:val="ListBody"/>
        <w:numPr>
          <w:ilvl w:val="0"/>
          <w:numId w:val="16"/>
        </w:numPr>
      </w:pPr>
      <w:r>
        <w:rPr>
          <w:rFonts w:ascii="Heiti SC" w:hAnsi="Heiti SC" w:eastAsia="Heiti SC"/>
          <w:color w:val="1A1A1A"/>
          <w:sz w:val="21"/>
        </w:rPr>
        <w:t>验证改进：通过测试、复盘、验收和现场反馈持续修正。</w:t>
      </w:r>
    </w:p>
    <w:p>
      <w:pPr>
        <w:pStyle w:val="Heading2"/>
        <w:keepNext/>
      </w:pPr>
      <w:r>
        <w:t>6.1 双方责任分工</w:t>
      </w:r>
    </w:p>
    <w:tbl>
      <w:tblPr>
        <w:tblW w:type="dxa" w:w="9026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700"/>
        <w:gridCol w:w="2600"/>
        <w:gridCol w:w="2500"/>
        <w:gridCol w:w="2226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项目环节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简益负责</w:t>
            </w:r>
          </w:p>
        </w:tc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客户负责</w:t>
            </w:r>
          </w:p>
        </w:tc>
        <w:tc>
          <w:tcPr>
            <w:tcW w:type="dxa" w:w="22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共同确认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问题定义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访谈、诊断与结构化表达</w:t>
            </w:r>
          </w:p>
        </w:tc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提供真实资料与关键人员</w:t>
            </w:r>
          </w:p>
        </w:tc>
        <w:tc>
          <w:tcPr>
            <w:tcW w:type="dxa" w:w="22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课题边界与优先级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方案设计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方法、模型、流程与方案</w:t>
            </w:r>
          </w:p>
        </w:tc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业务判断与约束条件</w:t>
            </w:r>
          </w:p>
        </w:tc>
        <w:tc>
          <w:tcPr>
            <w:tcW w:type="dxa" w:w="22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目标方案与关键取舍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项目推进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计划、风险、协调与跟踪</w:t>
            </w:r>
          </w:p>
        </w:tc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资源投入与内部决策</w:t>
            </w:r>
          </w:p>
        </w:tc>
        <w:tc>
          <w:tcPr>
            <w:tcW w:type="dxa" w:w="22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里程碑与问题处理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验证移交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测试、复盘与移交建议</w:t>
            </w:r>
          </w:p>
        </w:tc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现场执行与结果反馈</w:t>
            </w:r>
          </w:p>
        </w:tc>
        <w:tc>
          <w:tcPr>
            <w:tcW w:type="dxa" w:w="22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验收标准与后续行动</w:t>
            </w:r>
          </w:p>
        </w:tc>
      </w:tr>
    </w:tbl>
    <w:p>
      <w:pPr>
        <w:spacing w:after="0"/>
      </w:pPr>
    </w:p>
    <w:p>
      <w:pPr>
        <w:pStyle w:val="Callout"/>
        <w:shd w:fill="F2F4F3"/>
        <w:pBdr>
          <w:left w:val="single" w:sz="20" w:space="8" w:color="1F4E3D"/>
        </w:pBdr>
      </w:pPr>
      <w:r>
        <w:rPr>
          <w:rFonts w:ascii="Heiti SC" w:hAnsi="Heiti SC" w:eastAsia="Heiti SC"/>
          <w:b/>
          <w:color w:val="1F4E3D"/>
          <w:sz w:val="21"/>
        </w:rPr>
        <w:t xml:space="preserve">项目治理重点  </w:t>
      </w:r>
      <w:r>
        <w:rPr>
          <w:rFonts w:ascii="Heiti SC" w:hAnsi="Heiti SC" w:eastAsia="Heiti SC"/>
          <w:color w:val="1A1A1A"/>
          <w:sz w:val="21"/>
        </w:rPr>
        <w:t>把需要客户决策的问题及时提升，把需要供应商解决的问题持续跟踪，把需要现场验证的内容明确到场景和验收标准。</w:t>
      </w:r>
    </w:p>
    <w:p>
      <w:pPr>
        <w:pStyle w:val="Heading1"/>
        <w:keepNext/>
      </w:pPr>
      <w:r>
        <w:t>7. 如何启动合作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24000" cy="1908000"/>
            <wp:docPr id="7" name="Picture 7" title="章节导读｜先对齐问题、边界、人员、资料与决策机制" descr="项目启动桌面整理问题、范围、参与人员、资料和决策安排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ascii="Heiti SC" w:hAnsi="Heiti SC" w:eastAsia="Heiti SC"/>
          <w:color w:val="6B6B6B"/>
          <w:sz w:val="17"/>
        </w:rPr>
        <w:t>章节导读｜先对齐问题、边界、人员、资料与决策机制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一次有效的项目讨论，可以从四项准备开始。资料不需要非常完整，但应尽可能真实，并由熟悉业务和系统现状的人员参与。</w:t>
      </w:r>
    </w:p>
    <w:p>
      <w:pPr>
        <w:pStyle w:val="ListBody"/>
        <w:numPr>
          <w:ilvl w:val="0"/>
          <w:numId w:val="17"/>
        </w:numPr>
      </w:pPr>
      <w:r>
        <w:rPr>
          <w:rFonts w:ascii="Heiti SC" w:hAnsi="Heiti SC" w:eastAsia="Heiti SC"/>
          <w:color w:val="1A1A1A"/>
          <w:sz w:val="21"/>
        </w:rPr>
        <w:t>列出当前最希望解决的3个问题，并说明为什么重要。</w:t>
      </w:r>
    </w:p>
    <w:p>
      <w:pPr>
        <w:pStyle w:val="ListBody"/>
        <w:numPr>
          <w:ilvl w:val="0"/>
          <w:numId w:val="17"/>
        </w:numPr>
      </w:pPr>
      <w:r>
        <w:rPr>
          <w:rFonts w:ascii="Heiti SC" w:hAnsi="Heiti SC" w:eastAsia="Heiti SC"/>
          <w:color w:val="1A1A1A"/>
          <w:sz w:val="21"/>
        </w:rPr>
        <w:t>明确涉及的部门、业态、门店、区域和系统范围。</w:t>
      </w:r>
    </w:p>
    <w:p>
      <w:pPr>
        <w:pStyle w:val="ListBody"/>
        <w:numPr>
          <w:ilvl w:val="0"/>
          <w:numId w:val="17"/>
        </w:numPr>
      </w:pPr>
      <w:r>
        <w:rPr>
          <w:rFonts w:ascii="Heiti SC" w:hAnsi="Heiti SC" w:eastAsia="Heiti SC"/>
          <w:color w:val="1A1A1A"/>
          <w:sz w:val="21"/>
        </w:rPr>
        <w:t>准备现有流程、报表、需求文档、项目计划和问题记录。</w:t>
      </w:r>
    </w:p>
    <w:p>
      <w:pPr>
        <w:pStyle w:val="ListBody"/>
        <w:numPr>
          <w:ilvl w:val="0"/>
          <w:numId w:val="17"/>
        </w:numPr>
      </w:pPr>
      <w:r>
        <w:rPr>
          <w:rFonts w:ascii="Heiti SC" w:hAnsi="Heiti SC" w:eastAsia="Heiti SC"/>
          <w:color w:val="1A1A1A"/>
          <w:sz w:val="21"/>
        </w:rPr>
        <w:t>确认内部负责人、决策机制以及时间、预算和资源约束。</w:t>
      </w:r>
    </w:p>
    <w:p>
      <w:pPr>
        <w:pStyle w:val="Heading2"/>
        <w:keepNext/>
      </w:pPr>
      <w:r>
        <w:t>7.1 首次沟通通常要回答的问题</w:t>
      </w:r>
    </w:p>
    <w:tbl>
      <w:tblPr>
        <w:tblW w:type="dxa" w:w="9026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200"/>
        <w:gridCol w:w="6826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讨论主题</w:t>
            </w:r>
          </w:p>
        </w:tc>
        <w:tc>
          <w:tcPr>
            <w:tcW w:type="dxa" w:w="68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需要确认的内容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9"/>
              </w:rPr>
              <w:t>为什么现在做</w:t>
            </w:r>
          </w:p>
        </w:tc>
        <w:tc>
          <w:tcPr>
            <w:tcW w:type="dxa" w:w="68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9"/>
              </w:rPr>
              <w:t>经营压力、管理变化、系统建设或项目风险是什么？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9"/>
              </w:rPr>
              <w:t>希望得到什么</w:t>
            </w:r>
          </w:p>
        </w:tc>
        <w:tc>
          <w:tcPr>
            <w:tcW w:type="dxa" w:w="68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9"/>
              </w:rPr>
              <w:t>管理决策、业务改进、系统方案或项目交付的目标是什么？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9"/>
              </w:rPr>
              <w:t>工作范围</w:t>
            </w:r>
          </w:p>
        </w:tc>
        <w:tc>
          <w:tcPr>
            <w:tcW w:type="dxa" w:w="68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9"/>
              </w:rPr>
              <w:t>哪些组织、门店、流程、数据和系统在项目范围内？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9"/>
              </w:rPr>
              <w:t>如何验收</w:t>
            </w:r>
          </w:p>
        </w:tc>
        <w:tc>
          <w:tcPr>
            <w:tcW w:type="dxa" w:w="68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9"/>
              </w:rPr>
              <w:t>哪些交付物、业务场景和管理结果可以证明项目完成？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关于简益咨询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24000" cy="1908000"/>
            <wp:docPr id="8" name="Picture 8" title="章节导读｜连接零售现场、软件产品、项目管理与管理决策" descr="一座桥连接零售现场、产品设计空间和管理决策会议室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bo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jc w:val="center"/>
      </w:pPr>
      <w:r>
        <w:rPr>
          <w:rFonts w:ascii="Heiti SC" w:hAnsi="Heiti SC" w:eastAsia="Heiti SC"/>
          <w:color w:val="6B6B6B"/>
          <w:sz w:val="17"/>
        </w:rPr>
        <w:t>章节导读｜连接零售现场、软件产品、项目管理与管理决策</w:t>
      </w:r>
    </w:p>
    <w:p>
      <w:pPr>
        <w:keepLines w:val="0"/>
      </w:pPr>
      <w:r>
        <w:rPr>
          <w:rFonts w:ascii="Heiti SC" w:hAnsi="Heiti SC" w:eastAsia="Heiti SC"/>
          <w:color w:val="1A1A1A"/>
          <w:sz w:val="21"/>
        </w:rPr>
        <w:t>核心顾问的职业经历横跨零售企业、零售软件和新零售平台，能够同时理解业务现场、系统产品逻辑和项目交付。</w:t>
      </w:r>
    </w:p>
    <w:tbl>
      <w:tblPr>
        <w:tblW w:type="dxa" w:w="9026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800"/>
        <w:gridCol w:w="1800"/>
        <w:gridCol w:w="5426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经验视角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代表经历</w:t>
            </w:r>
          </w:p>
        </w:tc>
        <w:tc>
          <w:tcPr>
            <w:tcW w:type="dxa" w:w="5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  <w:shd w:fill="1F4E3D"/>
          </w:tcPr>
          <w:p>
            <w:pPr>
              <w:spacing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带来的理解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零售企业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中百集团</w:t>
            </w:r>
          </w:p>
        </w:tc>
        <w:tc>
          <w:tcPr>
            <w:tcW w:type="dxa" w:w="5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理解门店、商品、运营和组织协同的真实约束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零售软件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富基融通</w:t>
            </w:r>
          </w:p>
        </w:tc>
        <w:tc>
          <w:tcPr>
            <w:tcW w:type="dxa" w:w="5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理解大型零售系统的产品逻辑、实施路径和交付风险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/>
                <w:color w:val="1A1A1A"/>
                <w:sz w:val="18"/>
              </w:rPr>
              <w:t>新零售平台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有赞新零售</w:t>
            </w:r>
          </w:p>
        </w:tc>
        <w:tc>
          <w:tcPr>
            <w:tcW w:type="dxa" w:w="542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C8CECB"/>
              <w:start w:val="single" w:sz="5" w:color="C8CECB"/>
              <w:bottom w:val="single" w:sz="5" w:color="C8CECB"/>
              <w:end w:val="single" w:sz="5" w:color="C8CECB"/>
              <w:insideH w:val="single" w:sz="5" w:color="C8CECB"/>
              <w:insideV w:val="single" w:sz="5" w:color="C8CECB"/>
            </w:tcBorders>
            <w:vAlign w:val="center"/>
          </w:tcPr>
          <w:p>
            <w:pPr>
              <w:spacing w:after="0" w:line="283" w:lineRule="auto"/>
            </w:pPr>
            <w:r>
              <w:rPr>
                <w:rFonts w:ascii="Heiti SC" w:hAnsi="Heiti SC" w:eastAsia="Heiti SC"/>
                <w:b w:val="0"/>
                <w:color w:val="1A1A1A"/>
                <w:sz w:val="18"/>
              </w:rPr>
              <w:t>理解数字化产品、客户场景与平台能力的连接方式</w:t>
            </w:r>
          </w:p>
        </w:tc>
      </w:tr>
    </w:tbl>
    <w:p>
      <w:pPr>
        <w:spacing w:after="0"/>
      </w:pPr>
    </w:p>
    <w:p>
      <w:pPr>
        <w:pStyle w:val="Callout"/>
        <w:shd w:fill="F2F4F3"/>
        <w:pBdr>
          <w:left w:val="single" w:sz="20" w:space="8" w:color="1F4E3D"/>
        </w:pBdr>
      </w:pPr>
      <w:r>
        <w:rPr>
          <w:rFonts w:ascii="Heiti SC" w:hAnsi="Heiti SC" w:eastAsia="Heiti SC"/>
          <w:b/>
          <w:color w:val="1F4E3D"/>
          <w:sz w:val="21"/>
        </w:rPr>
        <w:t xml:space="preserve">下一步  </w:t>
      </w:r>
      <w:r>
        <w:rPr>
          <w:rFonts w:ascii="Heiti SC" w:hAnsi="Heiti SC" w:eastAsia="Heiti SC"/>
          <w:color w:val="1A1A1A"/>
          <w:sz w:val="21"/>
        </w:rPr>
        <w:t>如需讨论具体课题，请联系简益咨询商务联系人。双方可先通过一次项目访谈确认问题边界，再决定采用诊断、专项方案或实施陪跑。</w:t>
      </w:r>
    </w:p>
    <w:p>
      <w:pPr>
        <w:spacing w:before="240" w:after="0"/>
      </w:pPr>
      <w:r>
        <w:rPr>
          <w:rFonts w:ascii="Heiti SC" w:hAnsi="Heiti SC" w:eastAsia="Heiti SC"/>
          <w:color w:val="6B6B6B"/>
          <w:sz w:val="17"/>
        </w:rPr>
        <w:t>说明：本白皮书用于业务交流。具体服务范围、人员投入、周期、价格和验收标准，以双方确认并签署的项目文件为准。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color w:val="6B6B6B"/>
        <w:sz w:val="17"/>
      </w:rPr>
      <w:t>简益咨询  JIANYI CONSULTING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  <w:pBdr>
        <w:top w:val="single" w:sz="4" w:space="5" w:color="C8CECB"/>
      </w:pBdr>
    </w:pPr>
    <w:r>
      <w:rPr>
        <w:rFonts w:ascii="Heiti SC" w:hAnsi="Heiti SC" w:eastAsia="Heiti SC"/>
        <w:color w:val="6B6B6B"/>
        <w:sz w:val="17"/>
      </w:rPr>
      <w:t xml:space="preserve">简益咨询  |  </w:t>
    </w:r>
    <w:r>
      <w:rPr>
        <w:rFonts w:ascii="Heiti SC" w:hAnsi="Heiti SC" w:eastAsia="Heiti SC"/>
        <w:color w:val="6B6B6B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14" w:val="right"/>
      </w:tabs>
      <w:spacing w:after="60"/>
      <w:pBdr>
        <w:bottom w:val="single" w:sz="4" w:space="5" w:color="C8CECB"/>
      </w:pBdr>
    </w:pPr>
    <w:r>
      <w:rPr>
        <w:rFonts w:ascii="Heiti SC" w:hAnsi="Heiti SC" w:eastAsia="Heiti SC"/>
        <w:b/>
        <w:color w:val="1F4E3D"/>
        <w:sz w:val="17"/>
      </w:rPr>
      <w:t>简益咨询 | 产品与服务白皮书</w:t>
    </w:r>
    <w:r>
      <w:rPr>
        <w:rFonts w:ascii="Heiti SC" w:hAnsi="Heiti SC" w:eastAsia="Heiti SC"/>
        <w:color w:val="6B6B6B"/>
        <w:sz w:val="16"/>
      </w:rPr>
      <w:tab/>
      <w:t>零售咨询 · IT规划 · 项目管理 · 产品设计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0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00" w:line="280" w:lineRule="auto"/>
      </w:pPr>
      <w:rPr>
        <w:rFonts w:ascii="Arial" w:hAnsi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00" w:line="280" w:lineRule="auto"/>
      </w:pPr>
      <w:rPr>
        <w:rFonts w:ascii="Arial" w:hAnsi="Aria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0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00" w:line="280" w:lineRule="auto"/>
      </w:pPr>
      <w:rPr>
        <w:rFonts w:ascii="Arial" w:hAnsi="Arial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0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0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00" w:line="280" w:lineRule="auto"/>
      </w:pPr>
      <w:rPr>
        <w:rFonts w:ascii="Arial" w:hAnsi="Arial"/>
      </w:r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2" w:lineRule="auto"/>
    </w:pPr>
    <w:rPr>
      <w:rFonts w:ascii="Heiti SC" w:hAnsi="Heiti SC" w:eastAsia="Heiti SC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E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1F4E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A4A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2" w:lineRule="auto" w:before="0"/>
      <w:contextualSpacing/>
    </w:pPr>
    <w:rPr>
      <w:rFonts w:asciiTheme="majorHAnsi" w:eastAsiaTheme="majorEastAsia" w:hAnsiTheme="majorHAnsi" w:cstheme="majorBidi" w:ascii="Heiti SC" w:hAnsi="Heiti SC" w:eastAsia="Heiti SC"/>
      <w:b/>
      <w:color w:val="1F4E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Heiti SC" w:hAnsi="Heiti SC" w:eastAsia="Heiti SC"/>
      <w:b w:val="0"/>
      <w:i/>
      <w:iCs/>
      <w:color w:val="4A4A4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ody">
    <w:name w:val="List Body"/>
    <w:pPr>
      <w:spacing w:after="100" w:line="280" w:lineRule="auto"/>
    </w:pPr>
    <w:rPr>
      <w:rFonts w:ascii="Heiti SC" w:hAnsi="Heiti SC" w:eastAsia="Heiti SC"/>
      <w:b w:val="0"/>
      <w:color w:val="1A1A1A"/>
      <w:sz w:val="21"/>
    </w:rPr>
  </w:style>
  <w:style w:type="paragraph" w:customStyle="1" w:styleId="Callout">
    <w:name w:val="Callout"/>
    <w:pPr>
      <w:spacing w:before="160" w:after="200" w:line="300" w:lineRule="auto"/>
      <w:ind w:left="227" w:right="227"/>
    </w:pPr>
    <w:rPr>
      <w:rFonts w:ascii="Heiti SC" w:hAnsi="Heiti SC" w:eastAsia="Heiti SC"/>
      <w:b w:val="0"/>
      <w:color w:val="1A1A1A"/>
      <w:sz w:val="21"/>
    </w:rPr>
  </w:style>
  <w:style w:type="paragraph" w:customStyle="1" w:styleId="KeyValue">
    <w:name w:val="Key Value"/>
    <w:pPr>
      <w:spacing w:after="100" w:line="300" w:lineRule="auto"/>
    </w:pPr>
    <w:rPr>
      <w:rFonts w:ascii="Heiti SC" w:hAnsi="Heiti SC" w:eastAsia="Heiti SC"/>
      <w:b w:val="0"/>
      <w:color w:val="1A1A1A"/>
      <w:sz w:val="21"/>
    </w:rPr>
  </w:style>
  <w:style w:type="paragraph" w:customStyle="1" w:styleId="TableCitation">
    <w:name w:val="Table Citation"/>
    <w:pPr>
      <w:spacing w:before="80" w:after="80"/>
    </w:pPr>
    <w:rPr>
      <w:rFonts w:ascii="Heiti SC" w:hAnsi="Heiti SC" w:eastAsia="Heiti SC"/>
      <w:b w:val="0"/>
      <w:color w:val="6B6B6B"/>
      <w:sz w:val="17"/>
    </w:rPr>
  </w:style>
  <w:style w:type="paragraph" w:customStyle="1" w:styleId="ImageCaption">
    <w:name w:val="Image Caption"/>
    <w:pPr>
      <w:spacing w:before="0" w:after="160" w:line="252" w:lineRule="auto"/>
    </w:pPr>
    <w:rPr>
      <w:rFonts w:ascii="Heiti SC" w:hAnsi="Heiti SC" w:eastAsia="Heiti SC"/>
      <w:b w:val="0"/>
      <w:color w:val="6B6B6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简益咨询产品与服务白皮书</dc:title>
  <dc:subject>零售经营咨询、IT规划、项目管理与产品设计</dc:subject>
  <dc:creator>简益咨询</dc:creator>
  <cp:keywords>零售咨询, IT规划, 项目管理, 产品设计</cp:keywords>
  <dc:description>商务文档配图版 V1.3｜中文统一使用黑体-简（Heiti SC）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