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</w:pPr>
      <w:r>
        <w:rPr>
          <w:b/>
          <w:sz w:val="26"/>
        </w:rPr>
        <w:t>Suggested reviewers — Scientific Reports submission</w:t>
      </w:r>
    </w:p>
    <w:p>
      <w:r>
        <w:rPr>
          <w:sz w:val="20"/>
        </w:rPr>
        <w:t>Five experts in prediction-model calibration, shrinkage methodology, and cross-database ICU validation, matched to the manuscript topic; none has co-authored with the authors, is affiliated with our institutions, or took part in the study. Emails are as published and should be re-verified on the day of submission.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567"/>
          </w:tcPr>
          <w:p>
            <w:r/>
            <w:r>
              <w:rPr>
                <w:b/>
                <w:sz w:val="20"/>
              </w:rPr>
              <w:t>#</w:t>
            </w:r>
          </w:p>
        </w:tc>
        <w:tc>
          <w:tcPr>
            <w:tcW w:type="dxa" w:w="1928"/>
          </w:tcPr>
          <w:p>
            <w:r/>
            <w:r>
              <w:rPr>
                <w:b/>
                <w:sz w:val="20"/>
              </w:rPr>
              <w:t>Reviewer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0"/>
              </w:rPr>
              <w:t>Affiliation / Email</w:t>
            </w:r>
          </w:p>
        </w:tc>
        <w:tc>
          <w:tcPr>
            <w:tcW w:type="dxa" w:w="3402"/>
          </w:tcPr>
          <w:p>
            <w:r/>
            <w:r>
              <w:rPr>
                <w:b/>
                <w:sz w:val="20"/>
              </w:rPr>
              <w:t>Relevance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/>
            <w:r>
              <w:rPr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sz w:val="18"/>
              </w:rPr>
              <w:t>Maarten van Smeden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sz w:val="18"/>
              </w:rPr>
              <w:t>UMC Utrecht, Julius Center</w:t>
              <w:br/>
              <w:t>M.vanSmeden@umcutrecht.nl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sz w:val="18"/>
              </w:rPr>
              <w:t>sample-size methods (pmsampsize); BMC Med 2023 model-validity programme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/>
            <w:r>
              <w:rPr>
                <w:sz w:val="18"/>
              </w:rPr>
              <w:t>2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sz w:val="18"/>
              </w:rPr>
              <w:t>Erik W. van Zwet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sz w:val="18"/>
              </w:rPr>
              <w:t>Leiden UMC, Biomedical Data Sciences</w:t>
              <w:br/>
              <w:t>E.W.van_Zwet@lumc.nl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sz w:val="18"/>
              </w:rPr>
              <w:t>statistical foundations of shrinkage (Stat Med 2021)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/>
            <w:r>
              <w:rPr>
                <w:sz w:val="18"/>
              </w:rPr>
              <w:t>3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sz w:val="18"/>
              </w:rPr>
              <w:t>Mark A. van de Wiel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sz w:val="18"/>
              </w:rPr>
              <w:t>Amsterdam UMC, Epidemiology &amp; Data Science</w:t>
              <w:br/>
              <w:t>mark.vdwiel@amsterdamumc.nl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sz w:val="18"/>
              </w:rPr>
              <w:t>"Think before you shrink", Stat Methods Med Res 2025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/>
            <w:r>
              <w:rPr>
                <w:sz w:val="18"/>
              </w:rPr>
              <w:t>4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sz w:val="18"/>
              </w:rPr>
              <w:t>Ryohei Yamamoto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sz w:val="18"/>
              </w:rPr>
              <w:t>MIT IMES / Fukushima Medical University Hospital</w:t>
              <w:br/>
              <w:t>ryoheiyamamoto11@gmail.com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sz w:val="18"/>
              </w:rPr>
              <w:t>MIMIC-IV vs eICU-CRD external validation, calibration transferability (medRxiv 2026)</w:t>
            </w:r>
          </w:p>
        </w:tc>
      </w:tr>
      <w:tr>
        <w:tc>
          <w:tcPr>
            <w:tcW w:type="dxa" w:w="567"/>
          </w:tcPr>
          <w:p>
            <w:pPr>
              <w:spacing w:before="20" w:after="20"/>
            </w:pPr>
            <w:r/>
            <w:r>
              <w:rPr>
                <w:sz w:val="18"/>
              </w:rPr>
              <w:t>5</w:t>
            </w:r>
          </w:p>
        </w:tc>
        <w:tc>
          <w:tcPr>
            <w:tcW w:type="dxa" w:w="1928"/>
          </w:tcPr>
          <w:p>
            <w:pPr>
              <w:spacing w:before="20" w:after="20"/>
            </w:pPr>
            <w:r/>
            <w:r>
              <w:rPr>
                <w:sz w:val="18"/>
              </w:rPr>
              <w:t>Gary S. Collins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sz w:val="18"/>
              </w:rPr>
              <w:t>University of Birmingham (ex-Oxford EQUATOR)</w:t>
              <w:br/>
              <w:t>g.s.collins@bham.ac.uk</w:t>
            </w:r>
          </w:p>
        </w:tc>
        <w:tc>
          <w:tcPr>
            <w:tcW w:type="dxa" w:w="3402"/>
          </w:tcPr>
          <w:p>
            <w:pPr>
              <w:spacing w:before="20" w:after="20"/>
            </w:pPr>
            <w:r/>
            <w:r>
              <w:rPr>
                <w:sz w:val="18"/>
              </w:rPr>
              <w:t>TRIPOD+AI lead author; prediction-model reporting standards</w:t>
            </w:r>
          </w:p>
        </w:tc>
      </w:tr>
    </w:tbl>
    <w:p>
      <w:r>
        <w:rPr>
          <w:sz w:val="18"/>
        </w:rPr>
        <w:t>Backups (if a suggested reviewer is unavailable): Ben Van Calster (KU Leuven, calibration paradoxes/ICI); Dan Wang (Research Square 2026, MIMIC-IV+eICU-CRD liver model, high responsiveness, email unverified); Jianyuan Liu / Gang Liu (Scientific Reports 2024, MIMIC-IV to eICU-CRD cannulation model — emails via the paper's correspondence page). No reviewers are excluded.</w:t>
      </w:r>
      <w:r>
        <w:rPr>
          <w:sz w:val="18"/>
        </w:rPr>
        <w:t xml:space="preserve">  Conflict note: none of the suggested reviewers has co-authored with the authors, is affiliated with the authors' institutions, or was involved in the design, analysis, or interpretation of this study.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