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869A5">
      <w:pPr>
        <w:rPr>
          <w:rFonts w:hint="eastAsia"/>
        </w:rPr>
      </w:pPr>
      <w:r>
        <w:rPr>
          <w:rFonts w:hint="eastAsia"/>
        </w:rPr>
        <w:t># 审稿意见</w:t>
      </w:r>
    </w:p>
    <w:p w14:paraId="05C07FDB">
      <w:pPr>
        <w:rPr>
          <w:rFonts w:hint="eastAsia"/>
        </w:rPr>
      </w:pPr>
    </w:p>
    <w:p w14:paraId="7DF39E97">
      <w:pPr>
        <w:rPr>
          <w:rFonts w:hint="eastAsia"/>
        </w:rPr>
      </w:pPr>
      <w:r>
        <w:rPr>
          <w:rFonts w:hint="eastAsia"/>
        </w:rPr>
        <w:t>稿件标题： Discrimination transports, calibration does not: calibration drift in severity scoring across 187 intensive-care units</w:t>
      </w:r>
    </w:p>
    <w:p w14:paraId="6AF1DF82">
      <w:pPr>
        <w:rPr>
          <w:rFonts w:hint="eastAsia"/>
        </w:rPr>
      </w:pPr>
    </w:p>
    <w:p w14:paraId="483C35DB">
      <w:pPr>
        <w:rPr>
          <w:rFonts w:hint="eastAsia"/>
        </w:rPr>
      </w:pPr>
      <w:r>
        <w:rPr>
          <w:rFonts w:hint="eastAsia"/>
        </w:rPr>
        <w:t>稿件类型： 原创研究（二次分析）</w:t>
      </w:r>
    </w:p>
    <w:p w14:paraId="7399D5B4">
      <w:pPr>
        <w:rPr>
          <w:rFonts w:hint="eastAsia"/>
        </w:rPr>
      </w:pPr>
    </w:p>
    <w:p w14:paraId="096FF7C1">
      <w:pPr>
        <w:rPr>
          <w:rFonts w:hint="eastAsia"/>
        </w:rPr>
      </w:pPr>
      <w:r>
        <w:rPr>
          <w:rFonts w:hint="eastAsia"/>
        </w:rPr>
        <w:t>推荐意见： 大修（Major Revision）</w:t>
      </w:r>
    </w:p>
    <w:p w14:paraId="230AD7B9">
      <w:pPr>
        <w:rPr>
          <w:rFonts w:hint="eastAsia"/>
        </w:rPr>
      </w:pPr>
    </w:p>
    <w:p w14:paraId="10CB0DFE">
      <w:pPr>
        <w:rPr>
          <w:rFonts w:hint="eastAsia"/>
        </w:rPr>
      </w:pPr>
    </w:p>
    <w:p w14:paraId="67478E8E">
      <w:pPr>
        <w:rPr>
          <w:rFonts w:hint="eastAsia"/>
        </w:rPr>
      </w:pPr>
      <w:r>
        <w:rPr>
          <w:rFonts w:hint="eastAsia"/>
        </w:rPr>
        <w:t>## 总体评价</w:t>
      </w:r>
    </w:p>
    <w:p w14:paraId="71821914">
      <w:pPr>
        <w:rPr>
          <w:rFonts w:hint="eastAsia"/>
        </w:rPr>
      </w:pPr>
    </w:p>
    <w:p w14:paraId="7CD5E189">
      <w:pPr>
        <w:rPr>
          <w:rFonts w:hint="eastAsia"/>
        </w:rPr>
      </w:pPr>
      <w:r>
        <w:rPr>
          <w:rFonts w:hint="eastAsia"/>
        </w:rPr>
        <w:t>本文利用 eICU-CRD（187 家医院，30,796 例≥65 岁患者）和 MIMIC-IV（单中心，8,579 例）两个公开重症数据库，系统量化了 SOFA、OASIS、SAPS-II 三种急性严重程度评分在中心间的区分度（discrimination）与校准度（calibration）变异。核心发现是：区分度基本可移植（pooled AUC 0.732，中心间范围 0.649–0.812），而校准度显著漂移（O/E 0.69–1.54，I² = 75.4%），且该漂移不能被已测病例组合解释、随中心规模增大而增强、在两年间仅中度相关（r = 0.586）。进一步，作者发现基于 25 例本地患者的朴素重校准反而有害（成功率 15.3% vs 不重校准 21.4%），而经验贝叶斯收缩可消除该小样本惩罚（24.3% vs 15.5%），且收缩参数可从 eICU 转移至 MIMIC-IV 而无需重新估计。</w:t>
      </w:r>
    </w:p>
    <w:p w14:paraId="37A1A74D">
      <w:pPr>
        <w:rPr>
          <w:rFonts w:hint="eastAsia"/>
        </w:rPr>
      </w:pPr>
    </w:p>
    <w:p w14:paraId="3518126F">
      <w:pPr>
        <w:rPr>
          <w:rFonts w:hint="eastAsia"/>
        </w:rPr>
      </w:pPr>
      <w:r>
        <w:rPr>
          <w:rFonts w:hint="eastAsia"/>
        </w:rPr>
        <w:t>研究问题具有明确的临床与方法学重要性。 ICU 基准比较系统（如 SAPS 3、APACHE IV 的国际注册）和床旁风险分层均预设严重程度评分在不同医院间“含义相同”；本文直接检验并否定了这一预设，且将“空间维度”的中心间校准变异与既有的“时间维度”漂移文献明确区分。透明度值得肯定： 补充材料逐字保留了分析前的计划、披露了一个时间戳缺陷、明确报告了两项预设标准未达到（分析 E 的 50% 成功率从未达到；分析 K 的单阶段与两阶段 τ² 相差 50.1%），并将确认性分析与描述性分析分层报告。这在二次分析中并不常见，应视为本文的突出优点。</w:t>
      </w:r>
    </w:p>
    <w:p w14:paraId="23BBFCD2">
      <w:pPr>
        <w:rPr>
          <w:rFonts w:hint="eastAsia"/>
        </w:rPr>
      </w:pPr>
    </w:p>
    <w:p w14:paraId="6BE55774">
      <w:pPr>
        <w:rPr>
          <w:rFonts w:hint="eastAsia"/>
        </w:rPr>
      </w:pPr>
      <w:r>
        <w:rPr>
          <w:rFonts w:hint="eastAsia"/>
        </w:rPr>
        <w:t>然而，稿件在队列构建的排除步骤、中心级资格标准的选择偏倚、τ² 估计框架不一致的深入讨论、MIMIC-IV 外部验证的局限性、以及若干统计细节的澄清方面存在需要解决的重要问题。以下按“致命缺陷/重大问题是”与“可修改问题”分列。</w:t>
      </w:r>
    </w:p>
    <w:p w14:paraId="20E0F3EC">
      <w:pPr>
        <w:rPr>
          <w:rFonts w:hint="eastAsia"/>
        </w:rPr>
      </w:pPr>
    </w:p>
    <w:p w14:paraId="5A1B8506">
      <w:pPr>
        <w:rPr>
          <w:rFonts w:hint="eastAsia"/>
        </w:rPr>
      </w:pPr>
    </w:p>
    <w:p w14:paraId="7A836B8A">
      <w:pPr>
        <w:rPr>
          <w:rFonts w:hint="eastAsia"/>
        </w:rPr>
      </w:pPr>
      <w:r>
        <w:rPr>
          <w:rFonts w:hint="eastAsia"/>
        </w:rPr>
        <w:t>## 一、重大问题（Major Concerns）</w:t>
      </w:r>
    </w:p>
    <w:p w14:paraId="6A5E9272">
      <w:pPr>
        <w:rPr>
          <w:rFonts w:hint="eastAsia"/>
        </w:rPr>
      </w:pPr>
    </w:p>
    <w:p w14:paraId="1EFB572C">
      <w:pPr>
        <w:rPr>
          <w:rFonts w:hint="eastAsia"/>
        </w:rPr>
      </w:pPr>
      <w:r>
        <w:rPr>
          <w:rFonts w:hint="eastAsia"/>
        </w:rPr>
        <w:t>### 1. 排除“白蛋白、身高、体重全缺失”患者的步骤缺乏临床合理性，且实际改变了队列构成</w:t>
      </w:r>
    </w:p>
    <w:p w14:paraId="5BDB4BC0">
      <w:pPr>
        <w:rPr>
          <w:rFonts w:hint="eastAsia"/>
        </w:rPr>
      </w:pPr>
    </w:p>
    <w:p w14:paraId="003583BD">
      <w:pPr>
        <w:rPr>
          <w:rFonts w:hint="eastAsia"/>
        </w:rPr>
      </w:pPr>
      <w:r>
        <w:rPr>
          <w:rFonts w:hint="eastAsia"/>
        </w:rPr>
        <w:t>Figure 1 和 Methods 均报告，eICU-CRD 排除了白蛋白、身高、体重三者全缺失的 141 例患者，MIMIC-IV 排除了 15 例。作者的解释是：“该步骤继承自源数据提取协议，以便与同一研究组的相关工作保持队列可比；本研究不分析白蛋白、身高或体重，因此不影响分析队列或任何结果。”</w:t>
      </w:r>
    </w:p>
    <w:p w14:paraId="6A9FD720">
      <w:pPr>
        <w:rPr>
          <w:rFonts w:hint="eastAsia"/>
        </w:rPr>
      </w:pPr>
    </w:p>
    <w:p w14:paraId="6117A68A">
      <w:pPr>
        <w:rPr>
          <w:rFonts w:hint="eastAsia"/>
        </w:rPr>
      </w:pPr>
      <w:r>
        <w:rPr>
          <w:rFonts w:hint="eastAsia"/>
        </w:rPr>
        <w:t>这一解释不能完全令人满意，理由有三：</w:t>
      </w:r>
    </w:p>
    <w:p w14:paraId="06FF66B0">
      <w:pPr>
        <w:rPr>
          <w:rFonts w:hint="eastAsia"/>
        </w:rPr>
      </w:pPr>
    </w:p>
    <w:p w14:paraId="1191B07C">
      <w:pPr>
        <w:rPr>
          <w:rFonts w:hint="eastAsia"/>
        </w:rPr>
      </w:pPr>
      <w:r>
        <w:rPr>
          <w:rFonts w:hint="eastAsia"/>
        </w:rPr>
        <w:t>第一，“不影响分析变量”不等于“不影响队列”。排除 141 例（eICU）和 15 例（MIMIC）确实改变了分析队列的构成。如果这三项指标全缺失的患者在疾病严重程度、入院来源或数据记录质量上系统性地不同（例如，来自记录不完整的基层医院、或病情过重而未能完成常规检查），那么排除他们可能引入选择偏倚，影响中心间异质性的估计——尤其是本文的核心结局正是中心间的校准变异。</w:t>
      </w:r>
    </w:p>
    <w:p w14:paraId="04249956">
      <w:pPr>
        <w:rPr>
          <w:rFonts w:hint="eastAsia"/>
        </w:rPr>
      </w:pPr>
    </w:p>
    <w:p w14:paraId="7FB722C5">
      <w:pPr>
        <w:rPr>
          <w:rFonts w:hint="eastAsia"/>
        </w:rPr>
      </w:pPr>
      <w:r>
        <w:rPr>
          <w:rFonts w:hint="eastAsia"/>
        </w:rPr>
        <w:t>第二，该步骤与本文的研究问题无逻辑关联。本文分析的是 SOFA、OASIS、SAPS-II 与院内死亡的关系，这三项评分均不包含白蛋白、身高或体重。以“与相关工作可比”为由保留一个与本研究分析变量无关的排除步骤，在方法学上缺乏充分依据。</w:t>
      </w:r>
    </w:p>
    <w:p w14:paraId="728AEF93">
      <w:pPr>
        <w:rPr>
          <w:rFonts w:hint="eastAsia"/>
        </w:rPr>
      </w:pPr>
    </w:p>
    <w:p w14:paraId="60670CCA">
      <w:pPr>
        <w:rPr>
          <w:rFonts w:hint="eastAsia"/>
        </w:rPr>
      </w:pPr>
      <w:r>
        <w:rPr>
          <w:rFonts w:hint="eastAsia"/>
        </w:rPr>
        <w:t>第三，作者在 Limitations 中未讨论这一步骤。Limitations 部分讨论了二次分析设计的固有局限、MIMIC-IV 单中心、未测病例组合、合并症编码差异等，但未提及这一排除步骤可能带来的选择偏倚。</w:t>
      </w:r>
    </w:p>
    <w:p w14:paraId="60E68611">
      <w:pPr>
        <w:rPr>
          <w:rFonts w:hint="eastAsia"/>
        </w:rPr>
      </w:pPr>
    </w:p>
    <w:p w14:paraId="42F24F3E">
      <w:pPr>
        <w:rPr>
          <w:rFonts w:hint="eastAsia"/>
        </w:rPr>
      </w:pPr>
      <w:r>
        <w:rPr>
          <w:rFonts w:hint="eastAsia"/>
        </w:rPr>
        <w:t>建议：（a）补充报告被排除的 141 例（eICU）和 15 例（MIMIC）患者的基线特征（年龄、性别、SOFA 评分、院内死亡率、所在中心规模），并与纳入患者比较；（b）如果这些患者与纳入患者在关键变量上无系统性差异，可保留该步骤但需在 Limitations 中明确讨论；（c）如果存在系统性差异，建议移除该排除步骤后重新运行主分析（至少作为敏感性分析），以证明核心结论不依赖于该步骤。鉴于本文的透明度标准较高，这一补充分析是合理且可操作的。</w:t>
      </w:r>
    </w:p>
    <w:p w14:paraId="22EDC817">
      <w:pPr>
        <w:rPr>
          <w:rFonts w:hint="eastAsia"/>
        </w:rPr>
      </w:pPr>
    </w:p>
    <w:p w14:paraId="3230CCC0">
      <w:pPr>
        <w:rPr>
          <w:rFonts w:hint="eastAsia"/>
        </w:rPr>
      </w:pPr>
      <w:r>
        <w:rPr>
          <w:rFonts w:hint="eastAsia"/>
        </w:rPr>
        <w:t>### 2. 中心级资格标准（≥100 例且≥10 例院内死亡）排除了 44% 的中心，可能引入选择偏倚，但作者未评估被排除中心的特征</w:t>
      </w:r>
    </w:p>
    <w:p w14:paraId="775CDC42">
      <w:pPr>
        <w:rPr>
          <w:rFonts w:hint="eastAsia"/>
        </w:rPr>
      </w:pPr>
    </w:p>
    <w:p w14:paraId="47A51CDC">
      <w:pPr>
        <w:rPr>
          <w:rFonts w:hint="eastAsia" w:eastAsiaTheme="minorEastAsia"/>
          <w:lang w:eastAsia="zh-CN"/>
        </w:rPr>
      </w:pPr>
      <w:r>
        <w:rPr>
          <w:rFonts w:hint="eastAsia"/>
        </w:rPr>
        <w:t>103/187 家医院符合中心级分析资格，84 家（44.9%）被排除。作者在 Methods 中说明该阈值是预设的，目的是“允许在每个中心稳定估计校准截距”，并指出低于阈值的中心仍贡献于汇总模型。这一设计决策本身是合理的——校准截距的估计确实需要足够的事件数。但问题在于：作者没有报告被排除的 84 家中心与纳入的 103 家中心在任何特征上的比较。</w:t>
      </w:r>
    </w:p>
    <w:p w14:paraId="6F405315">
      <w:pPr>
        <w:rPr>
          <w:rFonts w:hint="eastAsia"/>
        </w:rPr>
      </w:pPr>
    </w:p>
    <w:p w14:paraId="36B1B82A">
      <w:pPr>
        <w:rPr>
          <w:rFonts w:hint="eastAsia"/>
        </w:rPr>
      </w:pPr>
      <w:r>
        <w:rPr>
          <w:rFonts w:hint="eastAsia"/>
        </w:rPr>
        <w:t>这一遗漏的影响是实质性的。本文的核心 estimand 是“中心间校准变异的程度”。如果被排除的中心系统性地更小、死亡率更低、或病例组合更单一（这在社区医院和小型 ICU 中很常见），那么 103 家中心估计出的 I² = 75.4% 和 O/E 范围 0.69–1.54 可能低估了全部 187 家中心的真实变异程度——因为小中心恰恰可能是校准漂移最严重的（样本量小、数据记录不规范、病例组合特殊）。反之，如果被排除中心与纳入中心无系统性差异，则选择偏倚可忽略。无论哪种情况，读者都需要这一比较来判断结论的泛化性。</w:t>
      </w:r>
    </w:p>
    <w:p w14:paraId="16CD4381">
      <w:pPr>
        <w:rPr>
          <w:rFonts w:hint="eastAsia"/>
        </w:rPr>
      </w:pPr>
    </w:p>
    <w:p w14:paraId="197C553B">
      <w:pPr>
        <w:rPr>
          <w:rFonts w:hint="eastAsia"/>
        </w:rPr>
      </w:pPr>
      <w:r>
        <w:rPr>
          <w:rFonts w:hint="eastAsia"/>
        </w:rPr>
        <w:t>建议： 在 Supplementary Table 中报告被排除的 84 家中心与纳入的 103 家中心在以下方面的比较：中心患者数（中位数、IQR）、院内死亡率、SOFA/OASIS/SAPS-II 均值或中位数、年龄均值、性别比例、以及可得的病例组合指标（如 Charlson 指数、侵入性通气比例）。并讨论这一选择对中心间异质性估计的可能方向性影响。</w:t>
      </w:r>
    </w:p>
    <w:p w14:paraId="330EC08E">
      <w:pPr>
        <w:rPr>
          <w:rFonts w:hint="eastAsia"/>
        </w:rPr>
      </w:pPr>
    </w:p>
    <w:p w14:paraId="1466FB06">
      <w:pPr>
        <w:rPr>
          <w:rFonts w:hint="eastAsia"/>
        </w:rPr>
      </w:pPr>
      <w:r>
        <w:rPr>
          <w:rFonts w:hint="eastAsia"/>
        </w:rPr>
        <w:t>### 3. τ² 估计框架的不一致（两阶段 vs 单阶段相差 50.1%）需要更深入的讨论，尤其是对经验贝叶斯收缩结果的影响</w:t>
      </w:r>
    </w:p>
    <w:p w14:paraId="49A93801">
      <w:pPr>
        <w:rPr>
          <w:rFonts w:hint="eastAsia"/>
        </w:rPr>
      </w:pPr>
    </w:p>
    <w:p w14:paraId="1FDC96CC">
      <w:pPr>
        <w:rPr>
          <w:rFonts w:hint="eastAsia"/>
        </w:rPr>
      </w:pPr>
      <w:r>
        <w:rPr>
          <w:rFonts w:hint="eastAsia"/>
        </w:rPr>
        <w:t>作者在分析 K 中预设了 τ² 在四种框架下的一致性标准：三种两阶段估计（DerSimonian-Laird、Paule-Mandel、REML）的相对范围 &lt; 25%，且单阶段多层模型估计落在两阶段中位数的 50% 以内。结果：两阶段估计高度一致（相对范围 3.9%），但单阶段多层估计 τ² = 0.0648，比两阶段中位数低 50.1%，第二项标准未达到。作者诚实地将此报告为阴性发现，并提出了一个合理的机制解释：两阶段校准偏移在斜率固定为 1 时计算，而实际中心间斜率范围为 0.720–1.639，斜率变异被吸收进截距，从而膨胀了截距的 τ²。</w:t>
      </w:r>
    </w:p>
    <w:p w14:paraId="76345DDB">
      <w:pPr>
        <w:rPr>
          <w:rFonts w:hint="eastAsia"/>
        </w:rPr>
      </w:pPr>
    </w:p>
    <w:p w14:paraId="092FE177">
      <w:pPr>
        <w:rPr>
          <w:rFonts w:hint="eastAsia"/>
        </w:rPr>
      </w:pPr>
      <w:r>
        <w:rPr>
          <w:rFonts w:hint="eastAsia"/>
        </w:rPr>
        <w:t>这一机制解释是合理的，但讨论的深度不足以让读者判断其对核心结论的影响。 具体而言：</w:t>
      </w:r>
    </w:p>
    <w:p w14:paraId="68B13F85">
      <w:pPr>
        <w:rPr>
          <w:rFonts w:hint="eastAsia"/>
        </w:rPr>
      </w:pPr>
    </w:p>
    <w:p w14:paraId="6792EC2F">
      <w:pPr>
        <w:rPr>
          <w:rFonts w:hint="eastAsia"/>
        </w:rPr>
      </w:pPr>
      <w:r>
        <w:rPr>
          <w:rFonts w:hint="eastAsia"/>
        </w:rPr>
        <w:t>- 经验贝叶斯收缩的权重 λ = τ²/(τ² + SE²)。当 τ² 从 0.1312 降至 0.0648 时，λ 系统性变小，收缩强度增大，偏远中心被拉向汇总均值的力度更强。作者在 Supplementary Table S3 中做了敏感性分析（固定 τ² 在三个值上），显示在 m = 25 时收缩仍优于朴素重校准（+9.1、+6.7、+6.5 个百分点，均 P &lt; 10⁻⁵⁹），这是有力的证据。但作者需要更明确地讨论：在 τ² = 0.0648 下，收缩策略的收益从 +9.1 降至 +6.5 个百分点，且在 m = 200 时优势不再具有统计学显著性（+0.2 个百分点，P = 0.83/0.89）。这意味着如果单阶段 τ² 更接近真实值，收缩策略的适用范围比作者在正文中呈现的更窄。 正文目前只说“the advantage shrinks as the local sample grows”，但未明确将这一收缩与 τ² 估计框架的不确定性联系起来。</w:t>
      </w:r>
    </w:p>
    <w:p w14:paraId="38D3EF86">
      <w:pPr>
        <w:rPr>
          <w:rFonts w:hint="eastAsia"/>
        </w:rPr>
      </w:pPr>
    </w:p>
    <w:p w14:paraId="5DB074EB">
      <w:pPr>
        <w:rPr>
          <w:rFonts w:hint="eastAsia"/>
        </w:rPr>
      </w:pPr>
      <w:r>
        <w:rPr>
          <w:rFonts w:hint="eastAsia"/>
        </w:rPr>
        <w:t>- 更根本的问题：哪一个 τ² 更接近真实值？ 作者提出了机制解释（斜率变异吸收），但未提供直接证据。一个可行的补充分析是：在两阶段框架中允许斜率自由估计（而非固定为 1），重新计算截距的 τ²，看是否向单阶段估计靠拢。如果靠拢，则机制解释得到支持；如果不靠拢，则单阶段与两阶段的差异可能另有来源（如单阶段模型对分布假设的敏感性）。这一分析在技术上可行（每个中心有足够的患者数拟合自由斜率逻辑回归），且能实质性地推进讨论。</w:t>
      </w:r>
    </w:p>
    <w:p w14:paraId="157F5D89">
      <w:pPr>
        <w:rPr>
          <w:rFonts w:hint="eastAsia"/>
        </w:rPr>
      </w:pPr>
    </w:p>
    <w:p w14:paraId="720018E4">
      <w:pPr>
        <w:rPr>
          <w:rFonts w:hint="eastAsia"/>
        </w:rPr>
      </w:pPr>
      <w:r>
        <w:rPr>
          <w:rFonts w:hint="eastAsia"/>
        </w:rPr>
        <w:t>建议：（a）在 Discussion 中明确将 τ² 估计的不确定性对收缩策略适用范围的影响写清楚，不要仅在 Supplementary Table S3 中呈现；（b）考虑补充上述“自由斜率两阶段 τ²”的敏感性分析，以检验机制解释；（c）如果补充分析不可行，至少在 Limitations 中将“τ² 的估计框架依赖”列为对收缩策略推荐强度的限制。</w:t>
      </w:r>
    </w:p>
    <w:p w14:paraId="5213E1BB">
      <w:pPr>
        <w:rPr>
          <w:rFonts w:hint="eastAsia"/>
        </w:rPr>
      </w:pPr>
    </w:p>
    <w:p w14:paraId="2A8E3BFB">
      <w:pPr>
        <w:rPr>
          <w:rFonts w:hint="eastAsia"/>
        </w:rPr>
      </w:pPr>
      <w:r>
        <w:rPr>
          <w:rFonts w:hint="eastAsia"/>
        </w:rPr>
        <w:t>### 4. MIMIC-IV 外部验证中收缩目标（ā = +0.030）与真实偏移（â = +0.221）的差距需要更明确的讨论</w:t>
      </w:r>
    </w:p>
    <w:p w14:paraId="624545BD">
      <w:pPr>
        <w:rPr>
          <w:rFonts w:hint="eastAsia"/>
        </w:rPr>
      </w:pPr>
    </w:p>
    <w:p w14:paraId="27123389">
      <w:pPr>
        <w:rPr>
          <w:rFonts w:hint="eastAsia"/>
        </w:rPr>
      </w:pPr>
      <w:r>
        <w:rPr>
          <w:rFonts w:hint="eastAsia"/>
        </w:rPr>
        <w:t>在分析 J 中，作者将 MIMIC-IV 视为一个新中心，固定 eICU 估计的收缩目标 ā = +0.030 和 τ² = 0.131，从不重新估计，真实偏移为 â = +0.221。收缩估计将 MIMIC-IV 的偏移拉向 +0.030，而真实偏移是 +0.221——两者相差 0.191，约等于 1.5 个 τ 的标准差（√0.131 ≈ 0.362）。这意味着在 MIMIC-IV 上，收缩目标本身是“错误”的（相对于该中心的真实偏移），但收缩策略仍然优于朴素重校准（m = 25 时 47.0% vs 23.5%）。</w:t>
      </w:r>
    </w:p>
    <w:p w14:paraId="4087F31A">
      <w:pPr>
        <w:rPr>
          <w:rFonts w:hint="eastAsia"/>
        </w:rPr>
      </w:pPr>
    </w:p>
    <w:p w14:paraId="7E062488">
      <w:pPr>
        <w:rPr>
          <w:rFonts w:hint="eastAsia"/>
        </w:rPr>
      </w:pPr>
      <w:r>
        <w:rPr>
          <w:rFonts w:hint="eastAsia"/>
        </w:rPr>
        <w:t>这一结果实际上强化了作者的论点：即使收缩目标与真实偏移存在实质性差距，收缩仍因方差缩减而获益。但作者在正文中只报告了结果，未讨论这一差距的含义。读者可能会问：如果收缩目标偏离真实值，为什么收缩还有益？答案在于偏差-方差权衡：在 m = 25 时，朴素估计的 SE 约为 √(1/(25 × mean(p(1-p)))) ≈ √(1/(25 × 0.15)) ≈ 0.52（粗略估计），远大于 τ = 0.362，因此 λ ≈ 0.131/(0.131 + 0.27) ≈ 0.33，收缩将估计拉向 +0.030，虽然引入了偏差，但大幅降低了方差，净效果是成功率提高。这一权衡机制值得在 Discussion 中明确写出，因为它解释了为什么收缩策略在“目标不完全正确”的情况下仍然有效——这正是跨数据库转移时最可能遇到的情形。</w:t>
      </w:r>
    </w:p>
    <w:p w14:paraId="52DBFFF7">
      <w:pPr>
        <w:rPr>
          <w:rFonts w:hint="eastAsia"/>
        </w:rPr>
      </w:pPr>
    </w:p>
    <w:p w14:paraId="09DD7270">
      <w:pPr>
        <w:rPr>
          <w:rFonts w:hint="eastAsia"/>
        </w:rPr>
      </w:pPr>
      <w:r>
        <w:rPr>
          <w:rFonts w:hint="eastAsia"/>
        </w:rPr>
        <w:t>建议： 在 Discussion 的“The shrinkage result and its limits”段落中，明确讨论收缩目标与 MIMIC-IV 真实偏移的差距（0.191），并解释偏差-方差权衡如何使收缩在此情形下仍然有益。这不会削弱结论，反而会增强读者对方法稳健性的理解。</w:t>
      </w:r>
    </w:p>
    <w:p w14:paraId="584789C5">
      <w:pPr>
        <w:rPr>
          <w:rFonts w:hint="eastAsia"/>
        </w:rPr>
      </w:pPr>
    </w:p>
    <w:p w14:paraId="4811C0C7">
      <w:pPr>
        <w:rPr>
          <w:rFonts w:hint="eastAsia"/>
        </w:rPr>
      </w:pPr>
      <w:r>
        <w:rPr>
          <w:rFonts w:hint="eastAsia"/>
        </w:rPr>
        <w:t>### 5. 中心规模增大时异质性增强的解释需要更深入</w:t>
      </w:r>
    </w:p>
    <w:p w14:paraId="13AB20BE">
      <w:pPr>
        <w:rPr>
          <w:rFonts w:hint="eastAsia"/>
        </w:rPr>
      </w:pPr>
    </w:p>
    <w:p w14:paraId="05347B3E">
      <w:pPr>
        <w:rPr>
          <w:rFonts w:hint="eastAsia" w:eastAsiaTheme="minorEastAsia"/>
          <w:lang w:eastAsia="zh-CN"/>
        </w:rPr>
      </w:pPr>
      <w:r>
        <w:rPr>
          <w:rFonts w:hint="eastAsia"/>
        </w:rPr>
        <w:t>作者发现 I² 从最小 tertile 的 56.7% 升至最大 tertile 的 83.9%，τ² 从 0.093 升至 0.143，并正确地指出这反驳了“抽样噪声驱动表观异质性”的假设（如果噪声驱动，小中心应显示最高异质性）。这一论证是本文最有力的方法学论据之一。 但作者对这一模式的解释停留在“变异是真实的中心间差异而非估计不精确的伪影”，未进一步追问：为什么大中心的异质性更强？</w:t>
      </w:r>
    </w:p>
    <w:p w14:paraId="3BE287FB">
      <w:pPr>
        <w:rPr>
          <w:rFonts w:hint="eastAsia"/>
        </w:rPr>
      </w:pPr>
    </w:p>
    <w:p w14:paraId="2A2E1CB0">
      <w:pPr>
        <w:rPr>
          <w:rFonts w:hint="eastAsia"/>
        </w:rPr>
      </w:pPr>
      <w:r>
        <w:rPr>
          <w:rFonts w:hint="eastAsia"/>
        </w:rPr>
        <w:t>可能的解释包括：（a）大中心更可能拥有复杂的病例组合和专科化服务，导致校准偏移更大；（b）大中心的数据记录更完整、更规范，使得真实的校准差异更容易被检测到（小中心的数据噪声可能掩盖真实差异）；（c）大中心的临床实践（如液体管理、血管活性药使用、机械通气策略）差异更大，导致风险梯度不同。这些解释的含义不同：如果是（b），则小中心的低 I² 部分是测量误差的产物，全部 187 家中心的真实异质性可能更高；如果是（a）或（c），则大中心的高异质性反映了真实的临床多样性。</w:t>
      </w:r>
    </w:p>
    <w:p w14:paraId="44BEE6AA">
      <w:pPr>
        <w:rPr>
          <w:rFonts w:hint="eastAsia"/>
        </w:rPr>
      </w:pPr>
    </w:p>
    <w:p w14:paraId="5BEF2B2A">
      <w:pPr>
        <w:rPr>
          <w:rFonts w:hint="eastAsia"/>
        </w:rPr>
      </w:pPr>
      <w:r>
        <w:rPr>
          <w:rFonts w:hint="eastAsia"/>
        </w:rPr>
        <w:t>建议： 在 Discussion 中补充一段，讨论大中心高异质性的可能机制，并明确这些机制对结论泛化性的含义。如果作者有数据支持其中某一机制（例如，大中心的病例组合更异质、或 SOFA 评分分布更宽），可补充报告。</w:t>
      </w:r>
    </w:p>
    <w:p w14:paraId="724375EA">
      <w:pPr>
        <w:rPr>
          <w:rFonts w:hint="eastAsia"/>
        </w:rPr>
      </w:pPr>
    </w:p>
    <w:p w14:paraId="42986D87">
      <w:pPr>
        <w:rPr>
          <w:rFonts w:hint="eastAsia"/>
        </w:rPr>
      </w:pPr>
      <w:r>
        <w:rPr>
          <w:rFonts w:hint="eastAsia"/>
        </w:rPr>
        <w:t>### 6. 净收益分析的临床解释需要更谨慎</w:t>
      </w:r>
    </w:p>
    <w:p w14:paraId="4A967478">
      <w:pPr>
        <w:rPr>
          <w:rFonts w:hint="eastAsia"/>
        </w:rPr>
      </w:pPr>
    </w:p>
    <w:p w14:paraId="5A0F7EA8">
      <w:pPr>
        <w:rPr>
          <w:rFonts w:hint="eastAsia"/>
        </w:rPr>
      </w:pPr>
      <w:r>
        <w:rPr>
          <w:rFonts w:hint="eastAsia"/>
        </w:rPr>
        <w:t>作者计算了每个中心在四个决策阈值下的净收益，公式为 TP/n − (FP/n) × (p_t/(1−p_t))，其中 n 是中心的全部队列。作者报告在阈值 0.20 时，17.0% 的中心净收益为负，即“基于模型行动比治疗所有人更差”。这一解释隐含了一个关键的临床假设：净收益公式中的“治疗所有人”是一个有意义的比较对象。 但在 ICU 情境中，“治疗所有人”意味着什么？是对所有患者升级监护、启动某种干预（如抗菌药物、液体复苏）、还是仅仅“标记为高风险并给予更多关注”？不同干预的成本和风险不同，阈值 p_t 的临床含义也不同。</w:t>
      </w:r>
    </w:p>
    <w:p w14:paraId="2CE4B954">
      <w:pPr>
        <w:rPr>
          <w:rFonts w:hint="eastAsia"/>
        </w:rPr>
      </w:pPr>
    </w:p>
    <w:p w14:paraId="39FE116B">
      <w:pPr>
        <w:rPr>
          <w:rFonts w:hint="eastAsia"/>
        </w:rPr>
      </w:pPr>
      <w:r>
        <w:rPr>
          <w:rFonts w:hint="eastAsia"/>
        </w:rPr>
        <w:t>此外，净收益公式假设干预对所有患者的获益是均一的（以 p_t/(1−p_t) 表示），这在 ICU 中通常不成立——高风险患者从干预中的绝对获益通常大于低风险患者。因此，负净收益的临床解释应谨慎：它说明“在该阈值下，模型引导的干预不如对所有患者实施同一干预”，但这不等于“模型在该中心没有临床价值”——模型可能在其他阈值下、或对其他干预有正净收益。</w:t>
      </w:r>
    </w:p>
    <w:p w14:paraId="6A8E51BD">
      <w:pPr>
        <w:rPr>
          <w:rFonts w:hint="eastAsia"/>
        </w:rPr>
      </w:pPr>
    </w:p>
    <w:p w14:paraId="2B92D13B">
      <w:pPr>
        <w:rPr>
          <w:rFonts w:hint="eastAsia"/>
        </w:rPr>
      </w:pPr>
      <w:r>
        <w:rPr>
          <w:rFonts w:hint="eastAsia"/>
        </w:rPr>
        <w:t>建议：（a）在 Methods 中明确说明净收益分析所假设的干预类型及其临床合理性；（b）在 Discussion 中限制负净收益的临床解释范围，明确其依赖于“治疗所有人”这一比较对象的假设；（c）如果可能，补充报告在不同阈值下净收益为正的中心比例，而不仅是负收益的比例，以便读者全面判断。</w:t>
      </w:r>
    </w:p>
    <w:p w14:paraId="3C710A7B">
      <w:pPr>
        <w:rPr>
          <w:rFonts w:hint="eastAsia"/>
        </w:rPr>
      </w:pPr>
    </w:p>
    <w:p w14:paraId="52C6F922">
      <w:pPr>
        <w:rPr>
          <w:rFonts w:hint="eastAsia"/>
        </w:rPr>
      </w:pPr>
      <w:r>
        <w:rPr>
          <w:rFonts w:hint="eastAsia"/>
        </w:rPr>
        <w:t>### 7. 校准偏移标准误（SE）的公式描述不清，需核实</w:t>
      </w:r>
    </w:p>
    <w:p w14:paraId="2FEFECE0">
      <w:pPr>
        <w:rPr>
          <w:rFonts w:hint="eastAsia"/>
        </w:rPr>
      </w:pPr>
    </w:p>
    <w:p w14:paraId="12525D52">
      <w:pPr>
        <w:rPr>
          <w:rFonts w:hint="eastAsia"/>
        </w:rPr>
      </w:pPr>
      <w:r>
        <w:rPr>
          <w:rFonts w:hint="eastAsia"/>
        </w:rPr>
        <w:t>Methods 中写道：SE 通过 delta 方法获得，公式为 sqrt(max(ŷ(1−ŷ), 10⁻⁹)/n_h) / n_h max(mean(p(1−p)), 10⁻⁹)。该表达式在排版上含义模糊：分母是 n_h × max(mean(p(1−p)), 10⁻⁹) 还是 n_h 乘以 max(...) 后再除以分子？标准 delta 方法下，校准截距的 SE 近似为 1/√(n_h × mean(p(1−p)))。作者应明确写出公式的完整结构，并说明 ŷ(1−ŷ) 项在分子中的作用（通常校准截距的 SE 不直接包含 ŷ(1−ŷ)，除非是在特定参数化下）。建议： 在 Methods 中重新排版该公式，或改用文字描述其计算步骤；如果使用了非标准公式，需引用来源并论证其合理性。</w:t>
      </w:r>
    </w:p>
    <w:p w14:paraId="777DBDCE">
      <w:pPr>
        <w:rPr>
          <w:rFonts w:hint="eastAsia"/>
        </w:rPr>
      </w:pPr>
    </w:p>
    <w:p w14:paraId="568D89E7">
      <w:pPr>
        <w:rPr>
          <w:rFonts w:hint="eastAsia"/>
        </w:rPr>
      </w:pPr>
    </w:p>
    <w:p w14:paraId="51A59CE4">
      <w:pPr>
        <w:rPr>
          <w:rFonts w:hint="eastAsia"/>
        </w:rPr>
      </w:pPr>
      <w:r>
        <w:rPr>
          <w:rFonts w:hint="eastAsia"/>
        </w:rPr>
        <w:t>## 二、可修改问题（Minor Concerns）</w:t>
      </w:r>
    </w:p>
    <w:p w14:paraId="78BDB3B2">
      <w:pPr>
        <w:rPr>
          <w:rFonts w:hint="eastAsia"/>
        </w:rPr>
      </w:pPr>
    </w:p>
    <w:p w14:paraId="6B814915">
      <w:pPr>
        <w:rPr>
          <w:rFonts w:hint="eastAsia"/>
        </w:rPr>
      </w:pPr>
      <w:r>
        <w:rPr>
          <w:rFonts w:hint="eastAsia"/>
        </w:rPr>
        <w:t>### 8. ±10% 成功标准的临床合理性需要讨论</w:t>
      </w:r>
    </w:p>
    <w:p w14:paraId="67535781">
      <w:pPr>
        <w:rPr>
          <w:rFonts w:hint="eastAsia"/>
        </w:rPr>
      </w:pPr>
    </w:p>
    <w:p w14:paraId="1791B2CB">
      <w:pPr>
        <w:rPr>
          <w:rFonts w:hint="eastAsia"/>
        </w:rPr>
      </w:pPr>
      <w:r>
        <w:rPr>
          <w:rFonts w:hint="eastAsia"/>
        </w:rPr>
        <w:t>分析 E 和 I 的主要指标是“残差绝对偏差在 ±10% 以内的重采样比例”（即 |O/E − 1| ≤ 0.10）。作者预设的 50% 成功率目标从未达到（最大 34.3% 在 m = 200）。这个 ±10% 的标准是否过于严格？ 在临床实践中，O/E 在 0.90–1.10 之间通常被视为“可接受的校准”，但这一标准并非普遍共识——有些应用场景（如基准比较）可能要求更严，有些（如床旁风险沟通）可能容忍更宽。作者应在 Methods 或 Discussion 中说明该标准的依据（是否有文献支持、是否基于临床决策的可接受误差），并讨论如果采用 ±20% 标准（作者提到有次要分析但未报告结果），结论是否改变。建议： 报告 ±20% 标准下的主要结果（至少作为 Supplementary Table），并在 Discussion 中讨论标准选择对结论解释的影响。</w:t>
      </w:r>
    </w:p>
    <w:p w14:paraId="1999E39C">
      <w:pPr>
        <w:rPr>
          <w:rFonts w:hint="eastAsia"/>
        </w:rPr>
      </w:pPr>
    </w:p>
    <w:p w14:paraId="5ED7748A">
      <w:pPr>
        <w:rPr>
          <w:rFonts w:hint="eastAsia"/>
        </w:rPr>
      </w:pPr>
      <w:r>
        <w:rPr>
          <w:rFonts w:hint="eastAsia"/>
        </w:rPr>
        <w:t>### 9. 时间稳定性分析仅基于 2014–2015 两年，41.6% 的时间方差份额需更明确的限定</w:t>
      </w:r>
    </w:p>
    <w:p w14:paraId="1DD36852">
      <w:pPr>
        <w:rPr>
          <w:rFonts w:hint="eastAsia"/>
        </w:rPr>
      </w:pPr>
    </w:p>
    <w:p w14:paraId="796768BA">
      <w:pPr>
        <w:rPr>
          <w:rFonts w:hint="eastAsia"/>
        </w:rPr>
      </w:pPr>
      <w:r>
        <w:rPr>
          <w:rFonts w:hint="eastAsia"/>
        </w:rPr>
        <w:t>作者正确地指出“only two consecutive years are available, this analysis addresses year-to-year stability and does not support any statement about a long-term temporal trend”。但 41.6% 这一数字在正文和 Discussion 中被多次引用（如“a hospital offset of which 41.6% of the variance is temporal cannot be fully corrected by a permanent recalibration”），读者可能将其误读为“约 42% 的校准变异是时间性的”这一一般性结论。建议： 在每次引用 41.6% 时明确加上限定语“in these two consecutive years”，并在 Limitations 中强调这一份额是特定于 2014–2015 年的，不能外推为长期时间趋势的估计。</w:t>
      </w:r>
    </w:p>
    <w:p w14:paraId="0414E880">
      <w:pPr>
        <w:rPr>
          <w:rFonts w:hint="eastAsia"/>
        </w:rPr>
      </w:pPr>
    </w:p>
    <w:p w14:paraId="7D495BE8">
      <w:pPr>
        <w:rPr>
          <w:rFonts w:hint="eastAsia"/>
        </w:rPr>
      </w:pPr>
      <w:r>
        <w:rPr>
          <w:rFonts w:hint="eastAsia"/>
        </w:rPr>
        <w:t>### 10. 图 5 信息密度过高，建议拆分或简化</w:t>
      </w:r>
    </w:p>
    <w:p w14:paraId="3622BDB6">
      <w:pPr>
        <w:rPr>
          <w:rFonts w:hint="eastAsia"/>
        </w:rPr>
      </w:pPr>
    </w:p>
    <w:p w14:paraId="710CE738">
      <w:pPr>
        <w:rPr>
          <w:rFonts w:hint="eastAsia"/>
        </w:rPr>
      </w:pPr>
      <w:r>
        <w:rPr>
          <w:rFonts w:hint="eastAsia"/>
        </w:rPr>
        <w:t>图 5 包含四个面板（a：学习曲线；b：残差校准；c：经验贝叶斯收缩；d：跨数据库转移），每个面板有多条曲线、阴影带、标注文字，且面板 a–b 与 c–d 使用不同的重采样方案（100 vs 200 次）。读者在单张图中难以消化这么多信息。 建议：将图 5 拆分为两张图（图 5：朴素重校准的学习曲线，含 a–b；图 6：经验贝叶斯收缩及跨数据库转移，含 c–d），或至少将面板 d（MIMIC-IV 转移）移至 Supplementary Figure，因为它是外部验证而非主分析的一部分。如果保留四面板结构，建议在 Figure legend 中用更清晰的分段说明每个面板的独立问题。</w:t>
      </w:r>
    </w:p>
    <w:p w14:paraId="5DD07972">
      <w:pPr>
        <w:rPr>
          <w:rFonts w:hint="eastAsia"/>
        </w:rPr>
      </w:pPr>
    </w:p>
    <w:p w14:paraId="5FED406F">
      <w:pPr>
        <w:rPr>
          <w:rFonts w:hint="eastAsia"/>
        </w:rPr>
      </w:pPr>
      <w:r>
        <w:rPr>
          <w:rFonts w:hint="eastAsia"/>
        </w:rPr>
        <w:t>### 11. TRIPOD 报告规范的立场需要更明确的说明</w:t>
      </w:r>
    </w:p>
    <w:p w14:paraId="0B0D98D8">
      <w:pPr>
        <w:rPr>
          <w:rFonts w:hint="eastAsia"/>
        </w:rPr>
      </w:pPr>
    </w:p>
    <w:p w14:paraId="47DAE009">
      <w:pPr>
        <w:rPr>
          <w:rFonts w:hint="eastAsia"/>
        </w:rPr>
      </w:pPr>
      <w:r>
        <w:rPr>
          <w:rFonts w:hint="eastAsia"/>
        </w:rPr>
        <w:t>作者在“Reporting standards”中解释未使用 TRIPOD 的理由是“no prediction model was developed or deployed for patient-level decisions here: the pooled model served as a measurement instrument for quantifying drift”。这一立场可以接受，但需要更明确地说明 TRIPOD-Cluster 中哪些要素已被纳入报告。 例如：聚类层级（医院）、每个估计的中心数（103）、重采样设计（cluster bootstrap、leave-one-centre-out）、中心级资格标准——这些正是 TRIPOD-Cluster 所强调的聚类数据报告要素。建议在 Methods 或 Reporting standards 中明确列出这些要素已被报告，以表明作者并非回避报告规范，而是选择了与研究对象匹配的规范组合（STROBE + RECORD + 聚类要素）。</w:t>
      </w:r>
    </w:p>
    <w:p w14:paraId="6EC2D727">
      <w:pPr>
        <w:rPr>
          <w:rFonts w:hint="eastAsia"/>
        </w:rPr>
      </w:pPr>
    </w:p>
    <w:p w14:paraId="260091FE">
      <w:pPr>
        <w:rPr>
          <w:rFonts w:hint="eastAsia"/>
        </w:rPr>
      </w:pPr>
      <w:r>
        <w:rPr>
          <w:rFonts w:hint="eastAsia"/>
        </w:rPr>
        <w:t>### 12. 补充材料中预先分析计划的语言问题</w:t>
      </w:r>
    </w:p>
    <w:p w14:paraId="44B31ADB">
      <w:pPr>
        <w:rPr>
          <w:rFonts w:hint="eastAsia"/>
        </w:rPr>
      </w:pPr>
    </w:p>
    <w:p w14:paraId="1F105A64">
      <w:pPr>
        <w:rPr>
          <w:rFonts w:hint="eastAsia"/>
        </w:rPr>
      </w:pPr>
      <w:r>
        <w:rPr>
          <w:rFonts w:hint="eastAsia"/>
        </w:rPr>
        <w:t>Supplementary Item S1 以中文原文（逐字保留）+ 英文摘要的形式呈现。作者解释“Translating them at this stage would break the chain between plan and result”。这一理由在原则上是合理的，但对国际读者不友好。 建议：（a）保留中文原文作为“primary record”，但提供完整的英文翻译作为并列版本（而非仅摘要），并在翻译版本中注明“translation for reader accessibility; the Chinese original remains the authoritative record”；（b）在 Chronology 表中为每个计划文件提供英文标题和一句话内容概述，使读者无需阅读中文即可理解计划的时间线和内容。</w:t>
      </w:r>
    </w:p>
    <w:p w14:paraId="275CFE6B">
      <w:pPr>
        <w:rPr>
          <w:rFonts w:hint="eastAsia"/>
        </w:rPr>
      </w:pPr>
    </w:p>
    <w:p w14:paraId="4B023A91">
      <w:pPr>
        <w:rPr>
          <w:rFonts w:hint="eastAsia"/>
        </w:rPr>
      </w:pPr>
      <w:r>
        <w:rPr>
          <w:rFonts w:hint="eastAsia"/>
        </w:rPr>
        <w:t>### 13. MIMIC-IV 年龄计算与 &gt;89 岁患者的处理需澄清</w:t>
      </w:r>
    </w:p>
    <w:p w14:paraId="506EEC0A">
      <w:pPr>
        <w:rPr>
          <w:rFonts w:hint="eastAsia"/>
        </w:rPr>
      </w:pPr>
    </w:p>
    <w:p w14:paraId="778C7967">
      <w:pPr>
        <w:rPr>
          <w:rFonts w:hint="eastAsia"/>
        </w:rPr>
      </w:pPr>
      <w:r>
        <w:rPr>
          <w:rFonts w:hint="eastAsia"/>
        </w:rPr>
        <w:t>Methods 中写道：MIMIC-IV 年龄 = anchor_age + (admission year − anchor year)。eICU-CRD 中明确说明“ages &gt; 89 recorded as 90”。MIMIC-IV 中 &gt;89 岁患者如何处理？ MIMIC-IV 的 anchor_age 在患者 &gt;89 岁时通常记录为 91（而非真实年龄），这是 MIMIC 的去标识化规则。作者应明确说明 MIMIC-IV 中年龄的处理方式，以及这是否影响两个队列的可比性（eICU 的 90 岁与 MIMIC-IV 的 91 岁在分析中是否被同等对待）。</w:t>
      </w:r>
    </w:p>
    <w:p w14:paraId="70BA10CF">
      <w:pPr>
        <w:rPr>
          <w:rFonts w:hint="eastAsia"/>
        </w:rPr>
      </w:pPr>
    </w:p>
    <w:p w14:paraId="5D7DB896">
      <w:pPr>
        <w:rPr>
          <w:rFonts w:hint="eastAsia"/>
        </w:rPr>
      </w:pPr>
      <w:r>
        <w:rPr>
          <w:rFonts w:hint="eastAsia"/>
        </w:rPr>
        <w:t>### 14. 决策阈值（0.10–0.40）的临床依据需要说明</w:t>
      </w:r>
    </w:p>
    <w:p w14:paraId="20638F1D">
      <w:pPr>
        <w:rPr>
          <w:rFonts w:hint="eastAsia"/>
        </w:rPr>
      </w:pPr>
    </w:p>
    <w:p w14:paraId="47C2B5FD">
      <w:pPr>
        <w:rPr>
          <w:rFonts w:hint="eastAsia"/>
        </w:rPr>
      </w:pPr>
      <w:r>
        <w:rPr>
          <w:rFonts w:hint="eastAsia"/>
        </w:rPr>
        <w:t>作者预设了四个决策阈值（0.10、0.20、0.30、0.40），并正确地说明它们是“fixed in advance and not data-driven”。但“预设”不等于“有临床依据”。 在 ICU 中，什么风险水平会触发什么临床决策？0.20 的阈值对应的是“考虑升级监护”还是“考虑限制治疗”？不同的临床决策对校准精度的要求不同。建议在 Methods 中补充一段，说明这些阈值的选取依据（例如，参考既往文献中 ICU 风险分层的常用切点，或基于临床专家共识），并讨论阈值选择对净收益结论的影响。</w:t>
      </w:r>
    </w:p>
    <w:p w14:paraId="0D767A6E">
      <w:pPr>
        <w:rPr>
          <w:rFonts w:hint="eastAsia"/>
        </w:rPr>
      </w:pPr>
    </w:p>
    <w:p w14:paraId="536A22BA">
      <w:pPr>
        <w:rPr>
          <w:rFonts w:hint="eastAsia"/>
        </w:rPr>
      </w:pPr>
      <w:r>
        <w:rPr>
          <w:rFonts w:hint="eastAsia"/>
        </w:rPr>
        <w:t>### 15. 合并症编码差异的讨论可以更充分</w:t>
      </w:r>
    </w:p>
    <w:p w14:paraId="5DD5C72B">
      <w:pPr>
        <w:rPr>
          <w:rFonts w:hint="eastAsia"/>
        </w:rPr>
      </w:pPr>
    </w:p>
    <w:p w14:paraId="41E8E676">
      <w:pPr>
        <w:rPr>
          <w:rFonts w:hint="eastAsia"/>
        </w:rPr>
      </w:pPr>
      <w:r>
        <w:rPr>
          <w:rFonts w:hint="eastAsia"/>
        </w:rPr>
        <w:t>作者指出 MIMIC-IV 的 Charlson 指数均值（3.5）远高于 eICU-CRD（0.9），并解释为“more complete ICD coding, not case-mix difference”。这一解释是合理的，但作者未讨论其对分析 J（MIMIC-IV 外部验证）的具体影响。 分析 J 使用的是单评分 SOFA 模型（不含合并症项），因此 Charlson 差异不直接影响模型预测。但 Charlson 差异反映了两数据库在记录实践上的系统性不同，这可能延伸到其他未测变量（如疾病谱、转诊模式、ICU 前病程），从而影响 MIMIC-IV 偏移（â = +0.221）的解释。建议在 Limitations 中补充一句：MIMIC-IV 的较高 Charlson 指数提示两数据库在记录实践上存在系统性差异，这一差异可能延伸到未测病例组合维度，因此 MIMIC-IV 的偏移不能仅归因于“病例组合不同”或“记录更完整”中的某一项。</w:t>
      </w:r>
    </w:p>
    <w:p w14:paraId="1E8A2F5C">
      <w:pPr>
        <w:rPr>
          <w:rFonts w:hint="eastAsia"/>
        </w:rPr>
      </w:pPr>
    </w:p>
    <w:p w14:paraId="7B657446">
      <w:pPr>
        <w:rPr>
          <w:rFonts w:hint="eastAsia"/>
        </w:rPr>
      </w:pPr>
      <w:r>
        <w:rPr>
          <w:rFonts w:hint="eastAsia"/>
        </w:rPr>
        <w:t>### 16. 统计报告中的小问题</w:t>
      </w:r>
    </w:p>
    <w:p w14:paraId="0AA01C0D">
      <w:pPr>
        <w:rPr>
          <w:rFonts w:hint="eastAsia"/>
        </w:rPr>
      </w:pPr>
    </w:p>
    <w:p w14:paraId="51427AA8">
      <w:pPr>
        <w:rPr>
          <w:rFonts w:hint="eastAsia"/>
        </w:rPr>
      </w:pPr>
      <w:r>
        <w:rPr>
          <w:rFonts w:hint="eastAsia"/>
        </w:rPr>
        <w:t>- 校准斜率 b_h 的估计：作者在每个中心拟合 logit(y) = α_h + β_h logit(p̂)，其中 p̂ 是汇总模型的预测概率。这一方法假设汇总模型的预测概率是固定的，但在每个中心内部 p̂ 的分布可能不同。建议在 Methods 中说明这一方法的依据（例如，参考 Van Calster 等的校准斜率定义），并确认所有 103 个斜率均收敛（作者已报告最大 |β_h| = 2.24，这是好的）。</w:t>
      </w:r>
    </w:p>
    <w:p w14:paraId="2AA89CE2">
      <w:pPr>
        <w:rPr>
          <w:rFonts w:hint="eastAsia"/>
        </w:rPr>
      </w:pPr>
      <w:r>
        <w:rPr>
          <w:rFonts w:hint="eastAsia"/>
        </w:rPr>
        <w:t>- Wilcoxon 符号秩检验的正态近似：作者报告了 P = 3.7 × 10⁻¹¹² 这样的极小值，并说明使用正态近似。在如此大的样本量（19,678 对）下，正态近似是合理的，但建议报告效应量（作者已报告百分比点差异，这是好的）并说明是否检查了配对差异的分布形态。</w:t>
      </w:r>
    </w:p>
    <w:p w14:paraId="519A4819">
      <w:pPr>
        <w:rPr>
          <w:rFonts w:hint="eastAsia"/>
        </w:rPr>
      </w:pPr>
      <w:r>
        <w:rPr>
          <w:rFonts w:hint="eastAsia"/>
        </w:rPr>
        <w:t>- 多重比较：作者有四个确认性分析（E、I、J、K），未做多重比较校正，理由是“each defined by a single pre-specified criterion evaluated once on the full cohort”。这一理由可以接受，但建议在 Discussion 中加一句限定：四项确认性分析各自独立预设，未做跨分析的多重比较校正；读者在解释单个 P 值时应考虑这一背景。</w:t>
      </w:r>
    </w:p>
    <w:p w14:paraId="1A455331">
      <w:pPr>
        <w:rPr>
          <w:rFonts w:hint="eastAsia"/>
        </w:rPr>
      </w:pPr>
    </w:p>
    <w:p w14:paraId="5DF6F732">
      <w:pPr>
        <w:rPr>
          <w:rFonts w:hint="eastAsia"/>
        </w:rPr>
      </w:pPr>
      <w:r>
        <w:rPr>
          <w:rFonts w:hint="eastAsia"/>
        </w:rPr>
        <w:t>### 17. 参考文献与格式</w:t>
      </w:r>
    </w:p>
    <w:p w14:paraId="52B88013">
      <w:pPr>
        <w:rPr>
          <w:rFonts w:hint="eastAsia"/>
        </w:rPr>
      </w:pPr>
    </w:p>
    <w:p w14:paraId="77B24DBA">
      <w:pPr>
        <w:rPr>
          <w:rFonts w:hint="eastAsia"/>
        </w:rPr>
      </w:pPr>
      <w:r>
        <w:rPr>
          <w:rFonts w:hint="eastAsia"/>
        </w:rPr>
        <w:t>- 参考文献 [13]（Zhang et al., Gland Surg. 2026）和 [14]（Yamamoto et al., medRxiv 2026）的 DOI 格式需要核实是否符合目标期刊要求（尤其是 medRxiv 预印本的引用格式）。</w:t>
      </w:r>
    </w:p>
    <w:p w14:paraId="1FE0E774">
      <w:pPr>
        <w:rPr>
          <w:rFonts w:hint="eastAsia"/>
        </w:rPr>
      </w:pPr>
      <w:r>
        <w:rPr>
          <w:rFonts w:hint="eastAsia"/>
        </w:rPr>
        <w:t>- 正文中“Supplementary Fig. S1- S3 · Table S1- S3 · Supplementary Note 全文 · 编号与正文分别”这一句出现在首页顶部，似乎是投稿包的内部说明，不应出现在正式稿件中。建议在投稿时移除。</w:t>
      </w:r>
    </w:p>
    <w:p w14:paraId="156D2BE8">
      <w:pPr>
        <w:rPr>
          <w:rFonts w:hint="eastAsia"/>
        </w:rPr>
      </w:pPr>
      <w:r>
        <w:rPr>
          <w:rFonts w:hint="eastAsia"/>
        </w:rPr>
        <w:t>- 首页标题重复出现两次（“Title and authorsDiscrimination transports...” 和 “Junzhi Chu...”），格式需要清理。</w:t>
      </w:r>
    </w:p>
    <w:p w14:paraId="75B59F1E">
      <w:pPr>
        <w:rPr>
          <w:rFonts w:hint="eastAsia"/>
        </w:rPr>
      </w:pPr>
    </w:p>
    <w:p w14:paraId="6E8A2F78">
      <w:pPr>
        <w:rPr>
          <w:rFonts w:hint="eastAsia"/>
        </w:rPr>
      </w:pPr>
    </w:p>
    <w:p w14:paraId="13DDB970">
      <w:pPr>
        <w:rPr>
          <w:rFonts w:hint="eastAsia"/>
        </w:rPr>
      </w:pPr>
      <w:r>
        <w:rPr>
          <w:rFonts w:hint="eastAsia"/>
        </w:rPr>
        <w:t>## 三、对研究问题、创新性与临床意义的总体判断</w:t>
      </w:r>
    </w:p>
    <w:p w14:paraId="214834AD">
      <w:pPr>
        <w:rPr>
          <w:rFonts w:hint="eastAsia"/>
        </w:rPr>
      </w:pPr>
    </w:p>
    <w:p w14:paraId="2651724D">
      <w:pPr>
        <w:rPr>
          <w:rFonts w:hint="eastAsia" w:eastAsiaTheme="minorEastAsia"/>
          <w:lang w:eastAsia="zh-CN"/>
        </w:rPr>
      </w:pPr>
      <w:r>
        <w:rPr>
          <w:rFonts w:hint="eastAsia"/>
        </w:rPr>
        <w:t>研究问题具有明确的重症医学相关性。 ICU 基准比较（如 SAPS 3、APACHE IV 的国际注册）和床旁风险分层均依赖于严重程度评分在不同医院间“含义相同”的预设。本文直接检验并否定了这一预设，且将中心间校准变异量化为 O/E 0.69–1.54（2.2 倍跨度）和 I² = 75.4%，为“基准比较的 O/E 差异不能安全地解释为质量差异”提供了直接证据。这一结论对 ICU 质量评价体系具有警示意义。</w:t>
      </w:r>
    </w:p>
    <w:p w14:paraId="6A136472">
      <w:pPr>
        <w:rPr>
          <w:rFonts w:hint="eastAsia"/>
        </w:rPr>
      </w:pPr>
    </w:p>
    <w:p w14:paraId="260402C2">
      <w:pPr>
        <w:rPr>
          <w:rFonts w:hint="eastAsia"/>
        </w:rPr>
      </w:pPr>
      <w:r>
        <w:rPr>
          <w:rFonts w:hint="eastAsia"/>
        </w:rPr>
        <w:t>方法学创新体现在三个层面：（1）将校准漂移的研究从“时间维度”和“单次转移”扩展到“多中心空间维度”，并在 103 家中心上同时估计；（2）将中心间变异分解为病例组合、中心规模和年份等成分，证明已测病例组合仅解释约 5 个百分点的 I²；（3）将局部重校准的“最小样本量需求”作为独立问题提出，发现 25 例本地患者时朴素重校准反而有害，而经验贝叶斯收缩可消除该惩罚——这一发现对临床预测模型的本地化实施具有直接的方法学含义。</w:t>
      </w:r>
    </w:p>
    <w:p w14:paraId="7EFC9DC6">
      <w:pPr>
        <w:rPr>
          <w:rFonts w:hint="eastAsia"/>
        </w:rPr>
      </w:pPr>
    </w:p>
    <w:p w14:paraId="33A4B2A1">
      <w:pPr>
        <w:rPr>
          <w:rFonts w:hint="eastAsia"/>
        </w:rPr>
      </w:pPr>
      <w:r>
        <w:rPr>
          <w:rFonts w:hint="eastAsia"/>
        </w:rPr>
        <w:t>需要强调的是，本文的结论应被解读为方法学发现而非临床推荐。 作者在 Conclusion 中明确写道“What this study offers is a statistical recalibration strategy and a measurement of how much local data it needs — not a clinical recommendation”，这一立场是恰当的。经验贝叶斯收缩的实用价值取决于 τ² 和 ā 的可获得性（通常需要多中心数据），而单个医院在实际中可能无法独立估计这些参数——作者在 Discussion 中承认“the extent to which they generalise to other health systems and other score families remains open”，这是诚实的，但也限制了该策略的直接可操作性。建议在 Discussion 中补充一句：在缺乏多中心 τ² 估计的情况下，医院可考虑使用文献报告的先验值（如本文的 τ² = 0.131），但需认识到这一先验值可能不适用于所有医疗系统。</w:t>
      </w:r>
    </w:p>
    <w:p w14:paraId="15FB9144">
      <w:pPr>
        <w:rPr>
          <w:rFonts w:hint="eastAsia"/>
        </w:rPr>
      </w:pPr>
    </w:p>
    <w:p w14:paraId="41BD1B98">
      <w:pPr>
        <w:rPr>
          <w:rFonts w:hint="eastAsia"/>
        </w:rPr>
      </w:pPr>
    </w:p>
    <w:p w14:paraId="4E691251">
      <w:pPr>
        <w:rPr>
          <w:rFonts w:hint="eastAsia"/>
        </w:rPr>
      </w:pPr>
      <w:r>
        <w:rPr>
          <w:rFonts w:hint="eastAsia"/>
        </w:rPr>
        <w:t>## 四、推荐意见</w:t>
      </w:r>
    </w:p>
    <w:p w14:paraId="0F663FF1">
      <w:pPr>
        <w:rPr>
          <w:rFonts w:hint="eastAsia"/>
        </w:rPr>
      </w:pPr>
    </w:p>
    <w:p w14:paraId="761091DC">
      <w:pPr>
        <w:rPr>
          <w:rFonts w:hint="eastAsia" w:eastAsiaTheme="minorEastAsia"/>
          <w:lang w:eastAsia="zh-CN"/>
        </w:rPr>
      </w:pPr>
      <w:r>
        <w:rPr>
          <w:rFonts w:hint="eastAsia"/>
        </w:rPr>
        <w:t>大修（Major Revision）。</w:t>
      </w:r>
    </w:p>
    <w:p w14:paraId="19B09634">
      <w:pPr>
        <w:rPr>
          <w:rFonts w:hint="eastAsia"/>
        </w:rPr>
      </w:pPr>
    </w:p>
    <w:p w14:paraId="40803733">
      <w:pPr>
        <w:rPr>
          <w:rFonts w:hint="eastAsia" w:eastAsiaTheme="minorEastAsia"/>
          <w:lang w:eastAsia="zh-CN"/>
        </w:rPr>
      </w:pPr>
      <w:r>
        <w:rPr>
          <w:rFonts w:hint="eastAsia"/>
        </w:rPr>
        <w:t>本文的研究问题重要、设计合理、透明度高，核心发现（区分度可移植、校准度不可移植、朴素局部重校准在小样本时有害、经验贝叶斯收缩可改善）具有方法学和临床意义。但以下问题需要在修回稿中解决：</w:t>
      </w:r>
    </w:p>
    <w:p w14:paraId="31AD3FFC">
      <w:pPr>
        <w:rPr>
          <w:rFonts w:hint="eastAsia"/>
        </w:rPr>
      </w:pPr>
    </w:p>
    <w:p w14:paraId="7A1A9010">
      <w:pPr>
        <w:rPr>
          <w:rFonts w:hint="eastAsia"/>
        </w:rPr>
      </w:pPr>
      <w:r>
        <w:rPr>
          <w:rFonts w:hint="eastAsia"/>
        </w:rPr>
        <w:t>1. （重大问题 1） 补充报告被排除的“白蛋白/身高/体重全缺失”患者的特征，或移除该排除步骤后重跑主分析作为敏感性分析。</w:t>
      </w:r>
    </w:p>
    <w:p w14:paraId="6A3B6A42">
      <w:pPr>
        <w:rPr>
          <w:rFonts w:hint="eastAsia"/>
        </w:rPr>
      </w:pPr>
      <w:r>
        <w:rPr>
          <w:rFonts w:hint="eastAsia"/>
        </w:rPr>
        <w:t>2. （重大问题 2） 报告被排除的 84 家中心与纳入的 103 家中心的特征比较，讨论选择偏倚对中心间异质性估计的可能影响。</w:t>
      </w:r>
    </w:p>
    <w:p w14:paraId="7D89589B">
      <w:pPr>
        <w:rPr>
          <w:rFonts w:hint="eastAsia"/>
        </w:rPr>
      </w:pPr>
      <w:r>
        <w:rPr>
          <w:rFonts w:hint="eastAsia"/>
        </w:rPr>
        <w:t>3. （重大问题 3） 在 Discussion 中明确讨论 τ² 估计框架不一致对收缩策略适用范围的影响；如可行，补充“自由斜率两阶段 τ²”的敏感性分析以检验机制解释。</w:t>
      </w:r>
    </w:p>
    <w:p w14:paraId="401430F0">
      <w:pPr>
        <w:rPr>
          <w:rFonts w:hint="eastAsia"/>
        </w:rPr>
      </w:pPr>
      <w:r>
        <w:rPr>
          <w:rFonts w:hint="eastAsia"/>
        </w:rPr>
        <w:t>4. （重大问题 4） 在 Discussion 中明确讨论 MIMIC-IV 收缩目标（+0.030）与真实偏移（+0.221）的差距及其偏差-方差权衡含义。</w:t>
      </w:r>
    </w:p>
    <w:p w14:paraId="7D48244C">
      <w:pPr>
        <w:rPr>
          <w:rFonts w:hint="eastAsia"/>
        </w:rPr>
      </w:pPr>
      <w:r>
        <w:rPr>
          <w:rFonts w:hint="eastAsia"/>
        </w:rPr>
        <w:t>5. （重大问题 5） 补充讨论大中心高异质性的可能机制及其对结论泛化性的含义。</w:t>
      </w:r>
    </w:p>
    <w:p w14:paraId="1B718780">
      <w:pPr>
        <w:rPr>
          <w:rFonts w:hint="eastAsia"/>
        </w:rPr>
      </w:pPr>
      <w:r>
        <w:rPr>
          <w:rFonts w:hint="eastAsia"/>
        </w:rPr>
        <w:t>6. （重大问题 6） 限制净收益分析的临床解释范围，明确其依赖于“治疗所有人”这一比较对象的假设。</w:t>
      </w:r>
    </w:p>
    <w:p w14:paraId="654EFD3F">
      <w:pPr>
        <w:rPr>
          <w:rFonts w:hint="eastAsia"/>
        </w:rPr>
      </w:pPr>
      <w:r>
        <w:rPr>
          <w:rFonts w:hint="eastAsia"/>
        </w:rPr>
        <w:t>7. （重大问题 7） 澄清校准偏移 SE 的计算公式。</w:t>
      </w:r>
    </w:p>
    <w:p w14:paraId="17295F8B">
      <w:pPr>
        <w:rPr>
          <w:rFonts w:hint="eastAsia"/>
        </w:rPr>
      </w:pPr>
      <w:r>
        <w:rPr>
          <w:rFonts w:hint="eastAsia"/>
        </w:rPr>
        <w:t>8. （可修改问题 8–17） 按上述建议逐项修改，尤其是 ±10% 标准的临床依据、时间方差份额的限定语、图 5 的拆分、TRIPOD 立场的说明、补充材料英文翻译、MIMIC-IV 年龄处理、决策阈值的临床依据、合并症编码差异的讨论、统计报告细节和格式清理。</w:t>
      </w:r>
    </w:p>
    <w:p w14:paraId="7D5DFFC9">
      <w:pPr>
        <w:rPr>
          <w:rFonts w:hint="eastAsia"/>
        </w:rPr>
      </w:pPr>
    </w:p>
    <w:p w14:paraId="2CEA3DA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如果作者能够充分解决上述重大问题，并在修回信中逐条回应，本文有潜力成为重症医学预测模型领域的重要方法学贡献。 建议在修回信中特别说明：（a）被排除患者和中心的特征比较结果；（b）τ² 框架不一致对结论的定量影响；（c）净收益分析中“治疗所有人”假设的临床合理性；（d）所有补充分析的结果是否改变核心结论的方向或强度。</w:t>
      </w:r>
    </w:p>
    <w:p w14:paraId="58EEB331">
      <w:pPr>
        <w:rPr>
          <w:rFonts w:hint="eastAsia"/>
        </w:rPr>
      </w:pPr>
    </w:p>
    <w:p w14:paraId="3F0094D4">
      <w:pPr>
        <w:rPr>
          <w:rFonts w:hint="eastAsia"/>
        </w:rPr>
      </w:pPr>
    </w:p>
    <w:p w14:paraId="019AE312">
      <w:pPr>
        <w:rPr>
          <w:rFonts w:hint="eastAsia"/>
        </w:rPr>
      </w:pPr>
      <w:r>
        <w:rPr>
          <w:rFonts w:hint="eastAsia"/>
        </w:rPr>
        <w:t>## 五、给作者的额外建议（非强制）</w:t>
      </w:r>
    </w:p>
    <w:p w14:paraId="6D0C2C53">
      <w:pPr>
        <w:rPr>
          <w:rFonts w:hint="eastAsia"/>
        </w:rPr>
      </w:pPr>
    </w:p>
    <w:p w14:paraId="4F61CD3C">
      <w:pPr>
        <w:rPr>
          <w:rFonts w:hint="eastAsia"/>
        </w:rPr>
      </w:pPr>
      <w:r>
        <w:rPr>
          <w:rFonts w:hint="eastAsia"/>
        </w:rPr>
        <w:t>- 考虑增加一个“校准漂移的可视化摘要”：当前 Figure 2 和 Figure 3 已经很好地展示了区分度与校准度的分离，但读者可能需要一个更直观的“床旁含义”图——例如，展示同一 SOFA 评分在不同中心的预测死亡率范围（如 SOFA = 8 时，各中心预测死亡率从 X% 到 Y%）。这可以帮助临床读者理解“校准漂移”的实际含义。如果数据允许，建议补充为 Supplementary Figure。</w:t>
      </w:r>
    </w:p>
    <w:p w14:paraId="3373F398">
      <w:pPr>
        <w:rPr>
          <w:rFonts w:hint="eastAsia"/>
        </w:rPr>
      </w:pPr>
      <w:r>
        <w:rPr>
          <w:rFonts w:hint="eastAsia"/>
        </w:rPr>
        <w:t>- 考虑讨论“中心间校准变异”与“中心间病例组合差异”的区分在基准比较中的实际操作含义：本文证明已测病例组合仅解释约 5 个百分点的 I²，但未讨论基准比较系统在实际中应如何应对这一 residual variation——例如，是否应报告中心间 O/E 的置信区间而非点估计？是否应使用随机效应模型而非固定效应模型进行基准排名？这些操作层面的建议会使本文的临床相关性更强。</w:t>
      </w:r>
    </w:p>
    <w:p w14:paraId="719F9C61">
      <w:r>
        <w:rPr>
          <w:rFonts w:hint="eastAsia"/>
        </w:rPr>
        <w:t>- 考虑在 Data Availability 中明确说明中心级汇总表的具体内容：作者提到“a centre-level summary table containing no patient identifiers (one row per eligible centre, for each of the three severity scores)”已公开。建议在 Data Availability 中列出该表包含的变量（如中心 ID、患者数、死亡数、AUC、O/E、校准截距、校准斜率、年份等），以便读者判断其可重用性。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6D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2026-10-30T19:15:50Z</dcterms:created>
  <dc:creator>user</dc:creator>
  <cp:lastModifiedBy>jiang</cp:lastModifiedBy>
  <dcterms:modified xsi:type="dcterms:W3CDTF">2026-10-30T19:16:08Z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eyJoZGlkIjoiYTZiMGRkZWRjYmM0NTA2NzAzNjQyODk4ZDVjNzVmNzEiLCJ1c2VySWQiOiIyNzk0OTgyMDcifQ==</vt:lpwstr>
  </property>
  <property fmtid="{D5CDD505-2E9C-101B-9397-08002B2CF9AE}" pid="4" name="ICV">
    <vt:lpwstr>109AC32EDD1D4AA1AB0AABBD8FC89A29_12</vt:lpwstr>
  </property>
</Properties>
</file>