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“语赞心声”项目打磨会王兴伟、王淑仪老师完整优化意见汇总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一、王兴伟老师（清华博士、国创赛金牌导师）核心指导意见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（一）核心赛道调整：放弃公益组，全力申报创意组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赛事数据与比例劣势：国创赛公益组、创意组、创业组推荐比例为1:3:1，公益组晋级名额极少、竞争极严苛，10个项目仅2个能晋级，容错率极低。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项目适配性不足：公益组核心评审标准为</w:t>
      </w:r>
      <w:r>
        <w:rPr>
          <w:rFonts w:eastAsia="等线" w:ascii="Arial" w:cs="Arial" w:hAnsi="Arial"/>
          <w:b w:val="true"/>
          <w:sz w:val="22"/>
        </w:rPr>
        <w:t>极致公益价值、强社会痛点、完善民非资质</w:t>
      </w:r>
      <w:r>
        <w:rPr>
          <w:rFonts w:eastAsia="等线" w:ascii="Arial" w:cs="Arial" w:hAnsi="Arial"/>
          <w:sz w:val="22"/>
        </w:rPr>
        <w:t>，本项目无民办非企业单位资质、公益数据不够亮眼、社会痛点冲击力弱于助残、特困帮扶类公益项目，走公益组基本无法晋级国赛。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创意组核心优势：创意组允许公益属性项目参赛，不排斥公益底色；评审核心看重</w:t>
      </w:r>
      <w:r>
        <w:rPr>
          <w:rFonts w:eastAsia="等线" w:ascii="Arial" w:cs="Arial" w:hAnsi="Arial"/>
          <w:b w:val="true"/>
          <w:sz w:val="22"/>
        </w:rPr>
        <w:t>项目创新性、技术落地性、模式可复制性、团队个人成长</w:t>
      </w:r>
      <w:r>
        <w:rPr>
          <w:rFonts w:eastAsia="等线" w:ascii="Arial" w:cs="Arial" w:hAnsi="Arial"/>
          <w:sz w:val="22"/>
        </w:rPr>
        <w:t>，完美适配本项目的数字化、本土化创新亮点，且晋级名额更多、赛道容错率更高。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（二）项目核心短板：有内容、无比赛逻辑，得分点严重缺失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个人成长板块空白（创意组30分核心分值）：项目PPT仅11页涉及团队成长，无完整成长逻辑，是核心失分点。无需对标博士团队学术深度，重点补充</w:t>
      </w:r>
      <w:r>
        <w:rPr>
          <w:rFonts w:eastAsia="等线" w:ascii="Arial" w:cs="Arial" w:hAnsi="Arial"/>
          <w:b w:val="true"/>
          <w:sz w:val="22"/>
        </w:rPr>
        <w:t>团队深耕西藏8年的调研历程、项目迭代过程、师生实践成长、学校平台赋能、解决问题的思维升级</w:t>
      </w:r>
      <w:r>
        <w:rPr>
          <w:rFonts w:eastAsia="等线" w:ascii="Arial" w:cs="Arial" w:hAnsi="Arial"/>
          <w:sz w:val="22"/>
        </w:rPr>
        <w:t>，贴合评审打分标准。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可复制性、抗风险性弱：项目过度依赖高校支教团、志愿者、政府资源、学校配合，一旦外部资源撤出，项目无独立存续能力，这是评委核心质疑点，必须重点优化。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项目站位偏低：目前仅聚焦西藏农牧民子女小群体，格局局限。需拔高政策站位，紧扣</w:t>
      </w:r>
      <w:r>
        <w:rPr>
          <w:rFonts w:eastAsia="等线" w:ascii="Arial" w:cs="Arial" w:hAnsi="Arial"/>
          <w:b w:val="true"/>
          <w:sz w:val="22"/>
        </w:rPr>
        <w:t>2025年修订的《国家通用语言文字法》</w:t>
      </w:r>
      <w:r>
        <w:rPr>
          <w:rFonts w:eastAsia="等线" w:ascii="Arial" w:cs="Arial" w:hAnsi="Arial"/>
          <w:sz w:val="22"/>
        </w:rPr>
        <w:t>、边疆教育振兴、民族交融、全国通用语言普及的国家级政策背景，对标村BA、红色助农等国金项目的宏大叙事逻辑。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（三）技术与创新优化：强化新文科数字化、AI特色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锚定新文科赛道核心：新文科核心定义为</w:t>
      </w:r>
      <w:r>
        <w:rPr>
          <w:rFonts w:eastAsia="等线" w:ascii="Arial" w:cs="Arial" w:hAnsi="Arial"/>
          <w:b w:val="true"/>
          <w:sz w:val="22"/>
        </w:rPr>
        <w:t>数字化、人工智能赋能人文服务</w:t>
      </w:r>
      <w:r>
        <w:rPr>
          <w:rFonts w:eastAsia="等线" w:ascii="Arial" w:cs="Arial" w:hAnsi="Arial"/>
          <w:sz w:val="22"/>
        </w:rPr>
        <w:t>，项目需重点突出边缘计算、本地低延迟语音纠错、牧区无网适配的技术创新，补齐数字化技术亮点，摆脱纯志愿服务项目标签。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对标国金项目逻辑：参考往届国创赛红色筑梦之旅国金项目，所有问题、痛点、成果均需</w:t>
      </w:r>
      <w:r>
        <w:rPr>
          <w:rFonts w:eastAsia="等线" w:ascii="Arial" w:cs="Arial" w:hAnsi="Arial"/>
          <w:b w:val="true"/>
          <w:sz w:val="22"/>
        </w:rPr>
        <w:t>数字化量化呈现</w:t>
      </w:r>
      <w:r>
        <w:rPr>
          <w:rFonts w:eastAsia="等线" w:ascii="Arial" w:cs="Arial" w:hAnsi="Arial"/>
          <w:sz w:val="22"/>
        </w:rPr>
        <w:t>，清晰梳理项目研发迭代、技术创新、模式创新的完整123逻辑，搭配科研论文、课题、竞赛奖项、落地案例作为支撑。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（四）商业模式与可持续性升级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打破单一TOG模式：目前仅依赖政府、学校资源，模式单一、抗风险差。需搭建</w:t>
      </w:r>
      <w:r>
        <w:rPr>
          <w:rFonts w:eastAsia="等线" w:ascii="Arial" w:cs="Arial" w:hAnsi="Arial"/>
          <w:b w:val="true"/>
          <w:sz w:val="22"/>
        </w:rPr>
        <w:t>TOG+TOB+TOC多元模式</w:t>
      </w:r>
      <w:r>
        <w:rPr>
          <w:rFonts w:eastAsia="等线" w:ascii="Arial" w:cs="Arial" w:hAnsi="Arial"/>
          <w:sz w:val="22"/>
        </w:rPr>
        <w:t>，拓展教育企业技术服务、民办教育机构合作、公益定制服务等营收渠道。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补充效益量化数据：补齐</w:t>
      </w:r>
      <w:r>
        <w:rPr>
          <w:rFonts w:eastAsia="等线" w:ascii="Arial" w:cs="Arial" w:hAnsi="Arial"/>
          <w:b w:val="true"/>
          <w:sz w:val="22"/>
        </w:rPr>
        <w:t>直接/间接带动就业、区域教育赋能、教师数字化能力提升</w:t>
      </w:r>
      <w:r>
        <w:rPr>
          <w:rFonts w:eastAsia="等线" w:ascii="Arial" w:cs="Arial" w:hAnsi="Arial"/>
          <w:sz w:val="22"/>
        </w:rPr>
        <w:t>等量化效益，填补当前项目空白得分点。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完善运营落地逻辑：清晰拆解项目落地流程、人员分工、迭代机制、复制推广路径，明确从试点学校到规模化推广的完整步骤，证明项目可落地、可复制、可长效运营。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（五）材料打磨硬性要求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严格对标官方评审细则，逐分补齐得分点，所有内容贴合创意组评分标准。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优化计划书排版，做到图文并茂、逻辑清晰、层级分明，参考往届国金项目计划书版式与内容结构。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所有创新点、落地成果、技术优势必须有</w:t>
      </w:r>
      <w:r>
        <w:rPr>
          <w:rFonts w:eastAsia="等线" w:ascii="Arial" w:cs="Arial" w:hAnsi="Arial"/>
          <w:b w:val="true"/>
          <w:sz w:val="22"/>
        </w:rPr>
        <w:t>实证支撑</w:t>
      </w:r>
      <w:r>
        <w:rPr>
          <w:rFonts w:eastAsia="等线" w:ascii="Arial" w:cs="Arial" w:hAnsi="Arial"/>
          <w:sz w:val="22"/>
        </w:rPr>
        <w:t>（课题、论文、奖项、媒体报道、政府批复、合作协议等）。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二、王淑仪师姐（读书郎市场部总监、15级文学院校友、天使投资人）核心指导意见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（一）四大核心灵魂拷问（项目存续核心问题）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团队必须完整解答，作为项目可持续性的核心支撑，彻底摆脱“纯志愿、靠输血”的短板：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去掉志愿者团队后，项目剩余核心价值是什么？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脱离高校支教团队支撑，项目如何独立运营？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无政府资源加持，项目的核心竞争力与存续能力是什么？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无学校老师配合落地，产品与服务如何持续创造价值？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（二）商业模式致命硬伤（BP核心整改重点）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商业测算不合理：7200-12000元/年的收费定位不符合西藏本地市场现状，当前商业模式</w:t>
      </w:r>
      <w:r>
        <w:rPr>
          <w:rFonts w:eastAsia="等线" w:ascii="Arial" w:cs="Arial" w:hAnsi="Arial"/>
          <w:b w:val="true"/>
          <w:sz w:val="22"/>
        </w:rPr>
        <w:t>高度依赖政府经费、学校预算、社会公益捐赠</w:t>
      </w:r>
      <w:r>
        <w:rPr>
          <w:rFonts w:eastAsia="等线" w:ascii="Arial" w:cs="Arial" w:hAnsi="Arial"/>
          <w:sz w:val="22"/>
        </w:rPr>
        <w:t>，无市场化自主营收能力，测算逻辑不成立、不被商业评委认可。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成本严重低估：BP中人力成本、志愿者管理成本、跨区域服务成本测算失真，未结合实际落地运营场景，商业逻辑不闭环。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混淆公益与商业边界：纯公益志愿服务无法支撑赛事评优，必须区分</w:t>
      </w:r>
      <w:r>
        <w:rPr>
          <w:rFonts w:eastAsia="等线" w:ascii="Arial" w:cs="Arial" w:hAnsi="Arial"/>
          <w:b w:val="true"/>
          <w:sz w:val="22"/>
        </w:rPr>
        <w:t>公益服务属性+市场化可持续运营模式</w:t>
      </w:r>
      <w:r>
        <w:rPr>
          <w:rFonts w:eastAsia="等线" w:ascii="Arial" w:cs="Arial" w:hAnsi="Arial"/>
          <w:sz w:val="22"/>
        </w:rPr>
        <w:t>，明确收费服务的验收标准、价值亮点、交付成果，解释“公益项目为何可收费、收费的合理性”。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（三）产品化、数字化短板（项目最大差异化缺口）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核心问题：项目目前是</w:t>
      </w:r>
      <w:r>
        <w:rPr>
          <w:rFonts w:eastAsia="等线" w:ascii="Arial" w:cs="Arial" w:hAnsi="Arial"/>
          <w:b w:val="true"/>
          <w:sz w:val="22"/>
        </w:rPr>
        <w:t>人力驱动的志愿服务模式</w:t>
      </w:r>
      <w:r>
        <w:rPr>
          <w:rFonts w:eastAsia="等线" w:ascii="Arial" w:cs="Arial" w:hAnsi="Arial"/>
          <w:sz w:val="22"/>
        </w:rPr>
        <w:t>，未完成产品化、数字化升级，属于“PPT项目、手搓项目”，无标准化、可复用、可自动化的产品体系，无法规模化复制。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核心整改方向：</w:t>
      </w:r>
      <w:r>
        <w:rPr>
          <w:rFonts w:eastAsia="等线" w:ascii="Arial" w:cs="Arial" w:hAnsi="Arial"/>
          <w:b w:val="true"/>
          <w:sz w:val="22"/>
        </w:rPr>
        <w:t>去人力依赖，实现机器/数字化驱动</w:t>
      </w:r>
      <w:r>
        <w:rPr>
          <w:rFonts w:eastAsia="等线" w:ascii="Arial" w:cs="Arial" w:hAnsi="Arial"/>
          <w:sz w:val="22"/>
        </w:rPr>
        <w:t>，做到“人员迭代、项目长存”，摆脱对志愿者、支教团的依赖。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落地实操要求：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（1）搭建项目MVP最小可行产品，制作可演示、可交互的demo原型，替代纯文字PPT、BP展示，让评委直观看到产品价值；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（2）完善多端口布局，补充学生端、教师端、管理端小程序/后台，新增学生成长数据报告、教学BI数据面板、课程标准化管理系统；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（3）课程体系标准化、流程化、可交付：明确课程授课标准、评估指标、成果交付形式，解决“谁上课、怎么上、怎么考核、怎么复用”的核心问题。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（四）BP与路演展示逻辑全面重构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适配评委评审习惯：评委单项目评审耐心仅2-3分钟，现有405页BP冗余严重、重点模糊，必须精简重构。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核心优化原则：</w:t>
      </w:r>
      <w:r>
        <w:rPr>
          <w:rFonts w:eastAsia="等线" w:ascii="Arial" w:cs="Arial" w:hAnsi="Arial"/>
          <w:b w:val="true"/>
          <w:sz w:val="22"/>
        </w:rPr>
        <w:t>一句话讲清项目核心、一页纸讲清商业模式、三页PPT击穿核心亮点</w:t>
      </w:r>
      <w:r>
        <w:rPr>
          <w:rFonts w:eastAsia="等线" w:ascii="Arial" w:cs="Arial" w:hAnsi="Arial"/>
          <w:sz w:val="22"/>
        </w:rPr>
        <w:t>，剔除无效堆砌内容，前置技术创新、数字化产品、可持续模式等核心得分点。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杜绝避重就轻：此前因赛事误区刻意规避“产品”概念、只提“帮扶体系”是错误思路，需正视产品化短板，主动补齐数字化产品体系，而非被动规避问题。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（五）AI工具与项目工程化升级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团队AI应用能力薄弱，未实现常态化工具赋能，导致项目无标准化工程体系、漏洞较多。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落地建议：运用豆包、DeepSeek、Cloud Code等AI工具，完成项目原型搭建、方案压力测试、内容标准化打磨；将评委核心问题训练为智能问答模型，提前规避评审风险。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（六）品牌与增值模式拓展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挖掘藏文化增值价值：依托学生国通语学习成果，打造藏文化文创品牌、内容IP，实现文化传播+商业增值双向赋能，拓宽项目边界。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建立可复用机制：将零散的志愿服务、帮扶活动，固化为</w:t>
      </w:r>
      <w:r>
        <w:rPr>
          <w:rFonts w:eastAsia="等线" w:ascii="Arial" w:cs="Arial" w:hAnsi="Arial"/>
          <w:b w:val="true"/>
          <w:sz w:val="22"/>
        </w:rPr>
        <w:t>标准化、可复制、可推广的长效机制</w:t>
      </w:r>
      <w:r>
        <w:rPr>
          <w:rFonts w:eastAsia="等线" w:ascii="Arial" w:cs="Arial" w:hAnsi="Arial"/>
          <w:sz w:val="22"/>
        </w:rPr>
        <w:t>，从“临时帮扶”升级为“体系化运营”，保障长期可持续性。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三、两位老师统一共识与最终整改优先级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第一优先级（紧急整改）</w:t>
      </w:r>
      <w:r>
        <w:rPr>
          <w:rFonts w:eastAsia="等线" w:ascii="Arial" w:cs="Arial" w:hAnsi="Arial"/>
          <w:sz w:val="22"/>
        </w:rPr>
        <w:t>：切换创意组赛道、重构商业模式、完成产品数字化demo、解答四大存续核心问题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第二优先级（核心提分）</w:t>
      </w:r>
      <w:r>
        <w:rPr>
          <w:rFonts w:eastAsia="等线" w:ascii="Arial" w:cs="Arial" w:hAnsi="Arial"/>
          <w:sz w:val="22"/>
        </w:rPr>
        <w:t>：拔高政策站位、补齐团队个人成长板块、量化项目效益数据、完善技术创新逻辑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第三优先级（精细打磨）</w:t>
      </w:r>
      <w:r>
        <w:rPr>
          <w:rFonts w:eastAsia="等线" w:ascii="Arial" w:cs="Arial" w:hAnsi="Arial"/>
          <w:sz w:val="22"/>
        </w:rPr>
        <w:t>：精简BP与PPT、标准化课程体系、落地AI工具赋能、搭建多元运营模式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2026-07-08T07:52:29Z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{"Label":"1","ContentProducer":"001191110102MACQD9K64010000","ProduceID":"7660061914003754183","ReservedCode1":"","ContentPropagator":"","PropagateID":"","ReservedCode2":""}</vt:lpwstr>
  </property>
</Properties>
</file>