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0"/>
        <w:adjustRightInd w:val="0"/>
        <w:snapToGrid w:val="0"/>
        <w:spacing w:before="0" w:line="360" w:lineRule="auto"/>
        <w:jc w:val="both"/>
        <w:outlineLvl w:val="0"/>
        <w:rPr>
          <w:rFonts w:cs="宋体"/>
          <w:sz w:val="21"/>
          <w:lang w:eastAsia="zh-CN"/>
        </w:rPr>
      </w:pPr>
      <w:bookmarkStart w:id="0" w:name="_Toc515535182"/>
      <w:r>
        <w:rPr>
          <w:rFonts w:hint="eastAsia" w:cs="宋体"/>
          <w:sz w:val="21"/>
          <w:lang w:eastAsia="zh-CN"/>
        </w:rPr>
        <w:t>附录</w:t>
      </w:r>
      <w:r>
        <w:rPr>
          <w:rFonts w:cs="宋体"/>
          <w:sz w:val="21"/>
          <w:lang w:eastAsia="zh-CN"/>
        </w:rPr>
        <w:t>1</w:t>
      </w:r>
      <w:r>
        <w:rPr>
          <w:rFonts w:hint="eastAsia" w:cs="宋体"/>
          <w:sz w:val="21"/>
          <w:lang w:val="en-US" w:eastAsia="zh-CN"/>
        </w:rPr>
        <w:t>-</w:t>
      </w:r>
      <w:r>
        <w:rPr>
          <w:rFonts w:hint="eastAsia" w:ascii="宋体" w:hAnsi="宋体" w:cs="宋体"/>
          <w:sz w:val="21"/>
          <w:szCs w:val="21"/>
          <w:lang w:eastAsia="zh-CN"/>
        </w:rPr>
        <w:t>稳像板</w:t>
      </w:r>
      <w:r>
        <w:rPr>
          <w:rFonts w:cs="宋体"/>
          <w:sz w:val="21"/>
          <w:lang w:eastAsia="zh-CN"/>
        </w:rPr>
        <w:t>_201905</w:t>
      </w:r>
      <w:r>
        <w:rPr>
          <w:rFonts w:hint="eastAsia" w:cs="宋体"/>
          <w:sz w:val="21"/>
          <w:lang w:eastAsia="zh-CN"/>
        </w:rPr>
        <w:t>24</w:t>
      </w:r>
    </w:p>
    <w:bookmarkEnd w:id="0"/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hint="default" w:ascii="宋体" w:eastAsia="宋体" w:cs="宋体"/>
          <w:sz w:val="21"/>
          <w:szCs w:val="21"/>
          <w:lang w:val="en-US" w:eastAsia="zh-CN"/>
        </w:rPr>
      </w:pPr>
    </w:p>
    <w:p>
      <w:pPr>
        <w:pStyle w:val="40"/>
        <w:numPr>
          <w:ilvl w:val="0"/>
          <w:numId w:val="1"/>
        </w:numPr>
        <w:adjustRightInd w:val="0"/>
        <w:snapToGrid w:val="0"/>
        <w:spacing w:before="0" w:line="360" w:lineRule="auto"/>
        <w:jc w:val="both"/>
        <w:outlineLvl w:val="0"/>
        <w:rPr>
          <w:rFonts w:cs="宋体"/>
          <w:sz w:val="21"/>
        </w:rPr>
      </w:pPr>
      <w:r>
        <w:rPr>
          <w:rFonts w:hint="eastAsia" w:cs="宋体"/>
          <w:sz w:val="21"/>
        </w:rPr>
        <w:t>通讯协议</w:t>
      </w:r>
    </w:p>
    <w:p>
      <w:pPr>
        <w:pStyle w:val="40"/>
        <w:numPr>
          <w:ilvl w:val="1"/>
          <w:numId w:val="2"/>
        </w:numPr>
        <w:adjustRightInd w:val="0"/>
        <w:snapToGrid w:val="0"/>
        <w:spacing w:before="0" w:line="360" w:lineRule="auto"/>
        <w:ind w:left="0" w:firstLine="0"/>
        <w:jc w:val="both"/>
        <w:rPr>
          <w:rFonts w:cs="宋体"/>
          <w:sz w:val="21"/>
        </w:rPr>
      </w:pPr>
      <w:bookmarkStart w:id="1" w:name="__RefHeading__137_668887576"/>
      <w:bookmarkEnd w:id="1"/>
      <w:r>
        <w:rPr>
          <w:rFonts w:hint="eastAsia" w:cs="宋体"/>
          <w:sz w:val="21"/>
        </w:rPr>
        <w:t>物理特性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（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）异步</w:t>
      </w:r>
      <w:r>
        <w:rPr>
          <w:rFonts w:ascii="宋体" w:hAnsi="宋体" w:cs="宋体"/>
          <w:sz w:val="21"/>
          <w:szCs w:val="21"/>
        </w:rPr>
        <w:t>RS422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波特率：</w:t>
      </w:r>
      <w:r>
        <w:rPr>
          <w:rFonts w:ascii="宋体" w:hAnsi="宋体" w:cs="宋体"/>
          <w:sz w:val="21"/>
          <w:szCs w:val="21"/>
        </w:rPr>
        <w:t>115200bps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传输格式：</w:t>
      </w:r>
      <w:r>
        <w:rPr>
          <w:rFonts w:ascii="宋体" w:hAnsi="宋体" w:cs="宋体"/>
          <w:sz w:val="21"/>
          <w:szCs w:val="21"/>
        </w:rPr>
        <w:t>8</w:t>
      </w:r>
      <w:r>
        <w:rPr>
          <w:rFonts w:hint="eastAsia" w:ascii="宋体" w:hAnsi="宋体" w:cs="宋体"/>
          <w:sz w:val="21"/>
          <w:szCs w:val="21"/>
        </w:rPr>
        <w:t>个数据位，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个起始位，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个停止位，无奇偶校验位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对于每个字节信息，先传输最低位</w:t>
      </w:r>
      <w:r>
        <w:rPr>
          <w:rFonts w:ascii="宋体" w:hAnsi="宋体" w:cs="宋体"/>
          <w:sz w:val="21"/>
          <w:szCs w:val="21"/>
        </w:rPr>
        <w:t>(lsb)</w:t>
      </w:r>
    </w:p>
    <w:p>
      <w:pPr>
        <w:pStyle w:val="40"/>
        <w:numPr>
          <w:ilvl w:val="1"/>
          <w:numId w:val="2"/>
        </w:numPr>
        <w:adjustRightInd w:val="0"/>
        <w:snapToGrid w:val="0"/>
        <w:spacing w:before="0" w:line="360" w:lineRule="auto"/>
        <w:ind w:left="0" w:firstLine="0"/>
        <w:jc w:val="both"/>
        <w:rPr>
          <w:rFonts w:cs="宋体"/>
          <w:sz w:val="21"/>
        </w:rPr>
      </w:pPr>
      <w:r>
        <w:rPr>
          <w:rFonts w:hint="eastAsia" w:cs="宋体"/>
          <w:sz w:val="21"/>
        </w:rPr>
        <w:t>信息格式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RS422</w:t>
      </w:r>
      <w:r>
        <w:rPr>
          <w:rFonts w:hint="eastAsia" w:ascii="宋体" w:hAnsi="宋体" w:cs="宋体"/>
          <w:sz w:val="21"/>
          <w:szCs w:val="21"/>
        </w:rPr>
        <w:t>或网络的信息格式如表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</w:rPr>
        <w:t>所示，命令和响应格式相同。</w:t>
      </w:r>
    </w:p>
    <w:p>
      <w:pPr>
        <w:pStyle w:val="2"/>
        <w:adjustRightInd w:val="0"/>
        <w:snapToGrid w:val="0"/>
        <w:spacing w:line="360" w:lineRule="auto"/>
        <w:ind w:left="0"/>
        <w:jc w:val="center"/>
        <w:rPr>
          <w:rFonts w:cs="宋体"/>
          <w:sz w:val="21"/>
        </w:rPr>
      </w:pPr>
      <w:r>
        <w:rPr>
          <w:rFonts w:hint="eastAsia" w:cs="宋体"/>
          <w:sz w:val="21"/>
        </w:rPr>
        <w:t>表</w:t>
      </w:r>
      <w:r>
        <w:rPr>
          <w:rFonts w:cs="宋体"/>
          <w:sz w:val="21"/>
          <w:lang w:eastAsia="zh-CN"/>
        </w:rPr>
        <w:t>1</w:t>
      </w:r>
      <w:r>
        <w:rPr>
          <w:rFonts w:hint="eastAsia" w:cs="宋体"/>
          <w:sz w:val="21"/>
          <w:lang w:eastAsia="zh-CN"/>
        </w:rPr>
        <w:t>通讯</w:t>
      </w:r>
      <w:r>
        <w:rPr>
          <w:rFonts w:hint="eastAsia" w:cs="宋体"/>
          <w:sz w:val="21"/>
        </w:rPr>
        <w:t>信息</w:t>
      </w:r>
      <w:r>
        <w:rPr>
          <w:rFonts w:hint="eastAsia" w:cs="宋体"/>
          <w:sz w:val="21"/>
          <w:lang w:eastAsia="zh-CN"/>
        </w:rPr>
        <w:t>结构说明</w:t>
      </w:r>
    </w:p>
    <w:tbl>
      <w:tblPr>
        <w:tblStyle w:val="9"/>
        <w:tblW w:w="8012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38" w:type="dxa"/>
          <w:bottom w:w="0" w:type="dxa"/>
          <w:right w:w="108" w:type="dxa"/>
        </w:tblCellMar>
      </w:tblPr>
      <w:tblGrid>
        <w:gridCol w:w="1164"/>
        <w:gridCol w:w="2099"/>
        <w:gridCol w:w="2113"/>
        <w:gridCol w:w="263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字节序号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名称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数值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信息头</w:t>
            </w:r>
            <w:r>
              <w:rPr>
                <w:rFonts w:hint="eastAsia" w:ascii="宋体" w:hAnsi="宋体" w:cs="宋体"/>
                <w:sz w:val="21"/>
                <w:szCs w:val="21"/>
              </w:rPr>
              <w:t>同步代码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0xEB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固定数值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子系统</w:t>
            </w: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hint="eastAsia" w:ascii="宋体" w:hAnsi="宋体"/>
                <w:sz w:val="21"/>
                <w:szCs w:val="21"/>
              </w:rPr>
              <w:t>号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hint="default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0x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固定数值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2-3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信息体长度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1-65535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信息体的字节长度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4-N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信息体</w:t>
            </w:r>
            <w:r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hint="eastAsia" w:ascii="宋体" w:hAnsi="宋体"/>
                <w:sz w:val="21"/>
                <w:szCs w:val="21"/>
              </w:rPr>
              <w:t>可变长</w:t>
            </w:r>
            <w:r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命令</w:t>
            </w:r>
            <w:r>
              <w:rPr>
                <w:rFonts w:ascii="宋体" w:hAnsi="宋体"/>
                <w:sz w:val="21"/>
                <w:szCs w:val="21"/>
              </w:rPr>
              <w:t>ID</w:t>
            </w:r>
            <w:r>
              <w:rPr>
                <w:rFonts w:hint="eastAsia" w:ascii="宋体" w:hAnsi="宋体"/>
                <w:sz w:val="21"/>
                <w:szCs w:val="21"/>
              </w:rPr>
              <w:t>和内容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信息体内容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3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64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N+1</w:t>
            </w:r>
          </w:p>
        </w:tc>
        <w:tc>
          <w:tcPr>
            <w:tcW w:w="2099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信息尾校验和</w:t>
            </w:r>
          </w:p>
        </w:tc>
        <w:tc>
          <w:tcPr>
            <w:tcW w:w="2113" w:type="dxa"/>
            <w:shd w:val="clear" w:color="auto" w:fill="FFFFFF"/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0-255</w:t>
            </w:r>
          </w:p>
        </w:tc>
        <w:tc>
          <w:tcPr>
            <w:tcW w:w="2636" w:type="dxa"/>
            <w:shd w:val="clear" w:color="auto" w:fill="FFFFFF"/>
            <w:tcMar>
              <w:left w:w="38" w:type="dxa"/>
            </w:tcMar>
            <w:vAlign w:val="center"/>
          </w:tcPr>
          <w:p>
            <w:pPr>
              <w:spacing w:beforeLines="20" w:afterLines="20" w:line="240" w:lineRule="auto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信息体按位的异或和</w:t>
            </w: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“信息头”是同步代码，表示一帧信息的开始。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“子系统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号”是产品型号的标识，</w:t>
      </w:r>
      <w:r>
        <w:rPr>
          <w:rFonts w:hint="eastAsia" w:ascii="宋体" w:hAnsi="宋体" w:cs="宋体"/>
          <w:sz w:val="21"/>
          <w:szCs w:val="21"/>
          <w:lang w:eastAsia="zh-CN"/>
        </w:rPr>
        <w:t>稳像板</w:t>
      </w:r>
      <w:r>
        <w:rPr>
          <w:rFonts w:hint="eastAsia" w:ascii="宋体" w:hAnsi="宋体" w:cs="宋体"/>
          <w:sz w:val="21"/>
          <w:szCs w:val="21"/>
        </w:rPr>
        <w:t>的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号为</w:t>
      </w:r>
      <w:r>
        <w:rPr>
          <w:rFonts w:ascii="宋体" w:hAnsi="宋体" w:cs="宋体"/>
          <w:sz w:val="21"/>
          <w:szCs w:val="21"/>
        </w:rPr>
        <w:t>0x</w:t>
      </w:r>
      <w:r>
        <w:rPr>
          <w:rFonts w:hint="eastAsia" w:ascii="宋体" w:hAnsi="宋体" w:cs="宋体"/>
          <w:sz w:val="21"/>
          <w:szCs w:val="21"/>
          <w:lang w:val="en-US" w:eastAsia="zh-CN"/>
        </w:rPr>
        <w:t>40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“信息体长度”表示该帧信息体含多少字节。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“信息尾”是校验和，是信息体按位的异或校验和。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“信息体”为可变长度格式，第一个字节传递命令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，其它字节传递内容，如果某一个信息内容需占用多个字节，则低位写入低字节，高位写入高字节。</w:t>
      </w:r>
    </w:p>
    <w:p>
      <w:pPr>
        <w:pStyle w:val="40"/>
        <w:numPr>
          <w:ilvl w:val="1"/>
          <w:numId w:val="2"/>
        </w:numPr>
        <w:adjustRightInd w:val="0"/>
        <w:snapToGrid w:val="0"/>
        <w:spacing w:before="0" w:line="360" w:lineRule="auto"/>
        <w:ind w:left="0" w:firstLine="0"/>
        <w:jc w:val="both"/>
        <w:rPr>
          <w:rFonts w:cs="宋体"/>
          <w:sz w:val="21"/>
        </w:rPr>
      </w:pPr>
      <w:bookmarkStart w:id="2" w:name="_Toc515535190"/>
      <w:r>
        <w:rPr>
          <w:rFonts w:hint="eastAsia" w:cs="宋体"/>
          <w:sz w:val="21"/>
        </w:rPr>
        <w:t>信息</w:t>
      </w:r>
      <w:bookmarkEnd w:id="2"/>
      <w:r>
        <w:rPr>
          <w:rFonts w:hint="eastAsia" w:cs="宋体"/>
          <w:sz w:val="21"/>
        </w:rPr>
        <w:t>应答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稳像板</w:t>
      </w:r>
      <w:r>
        <w:rPr>
          <w:rFonts w:hint="eastAsia" w:ascii="宋体" w:hAnsi="宋体" w:cs="宋体"/>
          <w:sz w:val="21"/>
          <w:szCs w:val="21"/>
        </w:rPr>
        <w:t>根据命令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回告响应，指定时间内无应答视为超时（无响应命令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除外）。</w:t>
      </w:r>
    </w:p>
    <w:p>
      <w:pPr>
        <w:pStyle w:val="40"/>
        <w:numPr>
          <w:ilvl w:val="1"/>
          <w:numId w:val="2"/>
        </w:numPr>
        <w:adjustRightInd w:val="0"/>
        <w:snapToGrid w:val="0"/>
        <w:spacing w:before="0" w:line="360" w:lineRule="auto"/>
        <w:ind w:left="0" w:firstLine="0"/>
        <w:jc w:val="both"/>
        <w:rPr>
          <w:rFonts w:cs="宋体"/>
          <w:sz w:val="21"/>
        </w:rPr>
      </w:pPr>
      <w:r>
        <w:rPr>
          <w:rFonts w:hint="eastAsia" w:cs="宋体"/>
          <w:sz w:val="21"/>
        </w:rPr>
        <w:t>错误控制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当接收过程中发现有帧校验错误时，该信息视为无效做丢弃处理。</w:t>
      </w:r>
    </w:p>
    <w:p>
      <w:pPr>
        <w:pStyle w:val="40"/>
        <w:numPr>
          <w:ilvl w:val="0"/>
          <w:numId w:val="1"/>
        </w:numPr>
        <w:adjustRightInd w:val="0"/>
        <w:snapToGrid w:val="0"/>
        <w:spacing w:before="0" w:line="360" w:lineRule="auto"/>
        <w:jc w:val="both"/>
        <w:outlineLvl w:val="0"/>
        <w:rPr>
          <w:rFonts w:cs="宋体"/>
          <w:sz w:val="21"/>
        </w:rPr>
      </w:pPr>
      <w:r>
        <w:rPr>
          <w:rFonts w:hint="eastAsia" w:cs="宋体"/>
          <w:sz w:val="21"/>
        </w:rPr>
        <w:t>数据协议</w:t>
      </w:r>
    </w:p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命令信息分控制类、查询类、配置类，命令、响应对应关系如表</w:t>
      </w:r>
      <w:r>
        <w:rPr>
          <w:rFonts w:ascii="宋体" w:hAnsi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</w:rPr>
        <w:t>所示（表中长度指信息体长度），响应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和命令</w:t>
      </w:r>
      <w:r>
        <w:rPr>
          <w:rFonts w:ascii="宋体" w:hAnsi="宋体" w:cs="宋体"/>
          <w:sz w:val="21"/>
          <w:szCs w:val="21"/>
        </w:rPr>
        <w:t>ID</w:t>
      </w:r>
      <w:r>
        <w:rPr>
          <w:rFonts w:hint="eastAsia" w:ascii="宋体" w:hAnsi="宋体" w:cs="宋体"/>
          <w:sz w:val="21"/>
          <w:szCs w:val="21"/>
        </w:rPr>
        <w:t>相同。</w:t>
      </w:r>
    </w:p>
    <w:p>
      <w:pPr>
        <w:pStyle w:val="2"/>
        <w:jc w:val="center"/>
        <w:rPr>
          <w:rFonts w:cs="宋体"/>
          <w:sz w:val="21"/>
        </w:rPr>
      </w:pPr>
      <w:r>
        <w:rPr>
          <w:rFonts w:hint="eastAsia" w:cs="宋体"/>
          <w:sz w:val="21"/>
        </w:rPr>
        <w:t>表</w:t>
      </w:r>
      <w:r>
        <w:rPr>
          <w:rFonts w:cs="宋体"/>
          <w:sz w:val="21"/>
          <w:lang w:eastAsia="zh-CN"/>
        </w:rPr>
        <w:t>2</w:t>
      </w:r>
      <w:r>
        <w:rPr>
          <w:rFonts w:cs="宋体"/>
          <w:sz w:val="21"/>
        </w:rPr>
        <w:t xml:space="preserve"> </w:t>
      </w:r>
      <w:r>
        <w:rPr>
          <w:rFonts w:hint="eastAsia" w:cs="宋体"/>
          <w:sz w:val="21"/>
          <w:lang w:eastAsia="zh-CN"/>
        </w:rPr>
        <w:t>控制</w:t>
      </w:r>
      <w:r>
        <w:rPr>
          <w:rFonts w:hint="eastAsia" w:cs="宋体"/>
          <w:sz w:val="21"/>
        </w:rPr>
        <w:t>命令信息</w:t>
      </w:r>
      <w:r>
        <w:rPr>
          <w:rFonts w:hint="eastAsia" w:cs="宋体"/>
          <w:sz w:val="21"/>
          <w:lang w:eastAsia="zh-CN"/>
        </w:rPr>
        <w:t>体</w:t>
      </w:r>
      <w:r>
        <w:rPr>
          <w:rFonts w:hint="eastAsia" w:cs="宋体"/>
          <w:sz w:val="21"/>
        </w:rPr>
        <w:t>长度表</w:t>
      </w:r>
    </w:p>
    <w:tbl>
      <w:tblPr>
        <w:tblStyle w:val="9"/>
        <w:tblW w:w="7008" w:type="dxa"/>
        <w:jc w:val="center"/>
        <w:tblInd w:w="-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27"/>
        <w:gridCol w:w="1074"/>
        <w:gridCol w:w="2071"/>
        <w:gridCol w:w="1231"/>
        <w:gridCol w:w="140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信息类型</w:t>
            </w: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命令</w:t>
            </w:r>
            <w:r>
              <w:rPr>
                <w:rFonts w:cs="宋体"/>
                <w:color w:val="auto"/>
                <w:sz w:val="21"/>
                <w:lang w:eastAsia="zh-CN"/>
              </w:rPr>
              <w:t>ID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命令定义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命令长度</w:t>
            </w: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响应长度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Merge w:val="restart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控制类</w:t>
            </w: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cs="宋体"/>
                <w:color w:val="auto"/>
                <w:sz w:val="21"/>
                <w:lang w:eastAsia="zh-CN"/>
              </w:rPr>
              <w:t>0x0</w:t>
            </w:r>
            <w:r>
              <w:rPr>
                <w:rFonts w:hint="eastAsia" w:cs="宋体"/>
                <w:color w:val="auto"/>
                <w:sz w:val="21"/>
                <w:lang w:val="en-US" w:eastAsia="zh-CN"/>
              </w:rPr>
              <w:t>0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51"/>
              </w:tabs>
              <w:adjustRightInd w:val="0"/>
              <w:snapToGrid w:val="0"/>
              <w:spacing w:after="0" w:line="360" w:lineRule="auto"/>
              <w:ind w:leftChars="200"/>
              <w:jc w:val="both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zh-CN"/>
              </w:rPr>
              <w:t>预处理</w:t>
            </w:r>
            <w:r>
              <w:rPr>
                <w:rFonts w:hint="eastAsia" w:ascii="宋体"/>
                <w:color w:val="auto"/>
                <w:sz w:val="21"/>
                <w:szCs w:val="21"/>
                <w:lang w:val="zh-CN"/>
              </w:rPr>
              <w:t>开关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Merge w:val="continue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cs="宋体"/>
                <w:color w:val="auto"/>
                <w:sz w:val="21"/>
                <w:lang w:eastAsia="zh-CN"/>
              </w:rPr>
              <w:t>0x0</w:t>
            </w:r>
            <w:r>
              <w:rPr>
                <w:rFonts w:hint="eastAsia" w:cs="宋体"/>
                <w:color w:val="auto"/>
                <w:sz w:val="21"/>
                <w:lang w:val="en-US" w:eastAsia="zh-CN"/>
              </w:rPr>
              <w:t>1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zh-CN"/>
              </w:rPr>
              <w:t>增强</w:t>
            </w:r>
            <w:r>
              <w:rPr>
                <w:rFonts w:hint="eastAsia" w:ascii="宋体"/>
                <w:color w:val="auto"/>
                <w:sz w:val="21"/>
                <w:szCs w:val="21"/>
                <w:lang w:val="zh-CN"/>
              </w:rPr>
              <w:t>开关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Merge w:val="continue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cs="宋体"/>
                <w:color w:val="auto"/>
                <w:sz w:val="21"/>
                <w:lang w:eastAsia="zh-CN"/>
              </w:rPr>
              <w:t>0x0</w:t>
            </w:r>
            <w:r>
              <w:rPr>
                <w:rFonts w:hint="eastAsia" w:cs="宋体"/>
                <w:color w:val="auto"/>
                <w:sz w:val="21"/>
                <w:lang w:val="en-US" w:eastAsia="zh-CN"/>
              </w:rPr>
              <w:t>2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稳像开关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Merge w:val="continue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cs="宋体"/>
                <w:color w:val="auto"/>
                <w:sz w:val="21"/>
                <w:lang w:eastAsia="zh-CN"/>
              </w:rPr>
              <w:t>0x0</w:t>
            </w:r>
            <w:r>
              <w:rPr>
                <w:rFonts w:hint="eastAsia" w:cs="宋体"/>
                <w:color w:val="auto"/>
                <w:sz w:val="21"/>
                <w:lang w:val="en-US" w:eastAsia="zh-CN"/>
              </w:rPr>
              <w:t>3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稳像工作模式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vMerge w:val="continue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074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cs="宋体"/>
                <w:color w:val="auto"/>
                <w:sz w:val="21"/>
                <w:lang w:eastAsia="zh-CN"/>
              </w:rPr>
              <w:t>0x0</w:t>
            </w:r>
            <w:r>
              <w:rPr>
                <w:rFonts w:hint="eastAsia" w:cs="宋体"/>
                <w:color w:val="auto"/>
                <w:sz w:val="21"/>
                <w:lang w:val="en-US" w:eastAsia="zh-CN"/>
              </w:rPr>
              <w:t>4</w:t>
            </w:r>
          </w:p>
        </w:tc>
        <w:tc>
          <w:tcPr>
            <w:tcW w:w="2071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  <w:r>
              <w:rPr>
                <w:rFonts w:hint="eastAsia" w:cs="宋体"/>
                <w:color w:val="auto"/>
                <w:sz w:val="21"/>
                <w:lang w:eastAsia="zh-CN"/>
              </w:rPr>
              <w:t>稳像滤波参数</w:t>
            </w:r>
          </w:p>
        </w:tc>
        <w:tc>
          <w:tcPr>
            <w:tcW w:w="1231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  <w:tc>
          <w:tcPr>
            <w:tcW w:w="1405" w:type="dxa"/>
            <w:shd w:val="clear" w:color="auto" w:fill="FFFFFF"/>
            <w:vAlign w:val="center"/>
          </w:tcPr>
          <w:p>
            <w:pPr>
              <w:pStyle w:val="2"/>
              <w:adjustRightInd w:val="0"/>
              <w:snapToGrid w:val="0"/>
              <w:spacing w:beforeLines="20" w:afterLines="20" w:line="240" w:lineRule="auto"/>
              <w:ind w:left="0"/>
              <w:jc w:val="center"/>
              <w:rPr>
                <w:rFonts w:cs="宋体"/>
                <w:color w:val="auto"/>
                <w:sz w:val="21"/>
                <w:lang w:eastAsia="zh-CN"/>
              </w:rPr>
            </w:pP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</w:p>
    <w:p>
      <w:pPr>
        <w:pStyle w:val="40"/>
        <w:numPr>
          <w:ilvl w:val="1"/>
          <w:numId w:val="3"/>
        </w:numPr>
        <w:tabs>
          <w:tab w:val="left" w:pos="567"/>
        </w:tabs>
        <w:adjustRightInd w:val="0"/>
        <w:snapToGrid w:val="0"/>
        <w:spacing w:before="0" w:line="360" w:lineRule="auto"/>
        <w:ind w:left="0" w:firstLine="0"/>
        <w:jc w:val="both"/>
        <w:rPr>
          <w:rFonts w:cs="宋体"/>
          <w:sz w:val="21"/>
          <w:lang w:eastAsia="zh-CN"/>
        </w:rPr>
      </w:pPr>
      <w:bookmarkStart w:id="3" w:name="_Toc8242_WPSOffice_Level1"/>
      <w:bookmarkStart w:id="4" w:name="_Toc5343_WPSOffice_Level1"/>
      <w:bookmarkStart w:id="5" w:name="_Toc3379_WPSOffice_Level1"/>
      <w:bookmarkStart w:id="6" w:name="_Toc12457_WPSOffice_Level2"/>
      <w:bookmarkStart w:id="7" w:name="_Toc30681_WPSOffice_Level1"/>
      <w:bookmarkStart w:id="8" w:name="_Toc4113_WPSOffice_Level2"/>
      <w:bookmarkStart w:id="9" w:name="_Toc28020_WPSOffice_Level1"/>
      <w:bookmarkStart w:id="10" w:name="_Toc16745_WPSOffice_Level1"/>
      <w:r>
        <w:rPr>
          <w:rFonts w:hint="eastAsia" w:cs="宋体"/>
          <w:sz w:val="21"/>
          <w:lang w:eastAsia="zh-CN"/>
        </w:rPr>
        <w:t>控制类信息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widowControl w:val="0"/>
        <w:numPr>
          <w:ilvl w:val="0"/>
          <w:numId w:val="4"/>
        </w:numPr>
        <w:tabs>
          <w:tab w:val="left" w:pos="851"/>
        </w:tabs>
        <w:adjustRightInd w:val="0"/>
        <w:snapToGrid w:val="0"/>
        <w:spacing w:after="0" w:line="360" w:lineRule="auto"/>
        <w:ind w:left="0" w:firstLine="420" w:firstLineChars="200"/>
        <w:jc w:val="both"/>
        <w:rPr>
          <w:rFonts w:ascii="宋体"/>
          <w:color w:val="auto"/>
          <w:sz w:val="21"/>
          <w:szCs w:val="21"/>
          <w:lang w:val="zh-CN"/>
        </w:rPr>
      </w:pPr>
      <w:r>
        <w:rPr>
          <w:rFonts w:hint="eastAsia" w:ascii="宋体" w:hAnsi="宋体"/>
          <w:color w:val="auto"/>
          <w:sz w:val="21"/>
          <w:szCs w:val="21"/>
          <w:lang w:val="zh-CN"/>
        </w:rPr>
        <w:t>预处理</w:t>
      </w:r>
      <w:r>
        <w:rPr>
          <w:rFonts w:hint="eastAsia" w:ascii="宋体"/>
          <w:color w:val="auto"/>
          <w:sz w:val="21"/>
          <w:szCs w:val="21"/>
          <w:lang w:val="zh-CN"/>
        </w:rPr>
        <w:t>开关</w:t>
      </w:r>
    </w:p>
    <w:tbl>
      <w:tblPr>
        <w:tblStyle w:val="9"/>
        <w:tblW w:w="7602" w:type="dxa"/>
        <w:jc w:val="center"/>
        <w:tblInd w:w="-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23"/>
        <w:gridCol w:w="60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3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Byte1</w:t>
            </w:r>
          </w:p>
        </w:tc>
        <w:tc>
          <w:tcPr>
            <w:tcW w:w="6079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  <w:lang w:val="zh-CN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3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Byte2</w:t>
            </w:r>
          </w:p>
        </w:tc>
        <w:tc>
          <w:tcPr>
            <w:tcW w:w="6079" w:type="dxa"/>
            <w:shd w:val="clear" w:color="auto" w:fill="FFFFFF"/>
            <w:tcMar>
              <w:left w:w="103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default" w:asci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0x00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预处理关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0x01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：预处理开</w:t>
            </w:r>
          </w:p>
        </w:tc>
      </w:tr>
    </w:tbl>
    <w:p>
      <w:pPr>
        <w:adjustRightInd w:val="0"/>
        <w:snapToGrid w:val="0"/>
        <w:spacing w:after="0" w:line="360" w:lineRule="auto"/>
        <w:jc w:val="both"/>
        <w:rPr>
          <w:rFonts w:ascii="宋体" w:cs="宋体"/>
          <w:color w:val="auto"/>
          <w:sz w:val="21"/>
          <w:szCs w:val="21"/>
        </w:rPr>
      </w:pPr>
    </w:p>
    <w:p>
      <w:pPr>
        <w:widowControl w:val="0"/>
        <w:numPr>
          <w:ilvl w:val="0"/>
          <w:numId w:val="4"/>
        </w:numPr>
        <w:tabs>
          <w:tab w:val="left" w:pos="851"/>
        </w:tabs>
        <w:adjustRightInd w:val="0"/>
        <w:snapToGrid w:val="0"/>
        <w:spacing w:after="0" w:line="360" w:lineRule="auto"/>
        <w:ind w:left="0" w:firstLine="420" w:firstLineChars="200"/>
        <w:jc w:val="both"/>
        <w:rPr>
          <w:rFonts w:ascii="宋体"/>
          <w:color w:val="auto"/>
          <w:sz w:val="21"/>
          <w:szCs w:val="21"/>
          <w:lang w:val="zh-CN"/>
        </w:rPr>
      </w:pPr>
      <w:r>
        <w:rPr>
          <w:rFonts w:hint="eastAsia" w:ascii="宋体"/>
          <w:color w:val="auto"/>
          <w:sz w:val="21"/>
          <w:szCs w:val="21"/>
          <w:lang w:val="zh-CN"/>
        </w:rPr>
        <w:t>增强开关</w:t>
      </w:r>
    </w:p>
    <w:tbl>
      <w:tblPr>
        <w:tblStyle w:val="9"/>
        <w:tblW w:w="758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267"/>
        <w:gridCol w:w="631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Byte1</w:t>
            </w:r>
          </w:p>
        </w:tc>
        <w:tc>
          <w:tcPr>
            <w:tcW w:w="6317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Byte2</w:t>
            </w:r>
          </w:p>
        </w:tc>
        <w:tc>
          <w:tcPr>
            <w:tcW w:w="6317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增强关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增强开</w:t>
            </w: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</w:p>
    <w:p>
      <w:pPr>
        <w:widowControl w:val="0"/>
        <w:numPr>
          <w:ilvl w:val="0"/>
          <w:numId w:val="4"/>
        </w:numPr>
        <w:tabs>
          <w:tab w:val="left" w:pos="851"/>
        </w:tabs>
        <w:adjustRightInd w:val="0"/>
        <w:snapToGrid w:val="0"/>
        <w:spacing w:after="0" w:line="360" w:lineRule="auto"/>
        <w:ind w:left="0" w:firstLine="420" w:firstLineChars="200"/>
        <w:jc w:val="both"/>
        <w:rPr>
          <w:rFonts w:ascii="宋体"/>
          <w:color w:val="auto"/>
          <w:sz w:val="21"/>
          <w:szCs w:val="21"/>
          <w:lang w:val="zh-CN"/>
        </w:rPr>
      </w:pPr>
      <w:bookmarkStart w:id="11" w:name="_Toc1197_WPSOffice_Level2"/>
      <w:bookmarkStart w:id="12" w:name="_Toc14456_WPSOffice_Level2"/>
      <w:bookmarkStart w:id="13" w:name="_Toc19120_WPSOffice_Level2"/>
      <w:bookmarkStart w:id="14" w:name="_Toc173_WPSOffice_Level2"/>
      <w:bookmarkStart w:id="15" w:name="_Toc6835_WPSOffice_Level2"/>
      <w:bookmarkStart w:id="16" w:name="_Toc26788_WPSOffice_Level2"/>
      <w:r>
        <w:rPr>
          <w:rFonts w:hint="eastAsia" w:ascii="宋体"/>
          <w:color w:val="auto"/>
          <w:sz w:val="21"/>
          <w:szCs w:val="21"/>
          <w:lang w:val="zh-CN"/>
        </w:rPr>
        <w:t>稳像开关</w:t>
      </w:r>
    </w:p>
    <w:tbl>
      <w:tblPr>
        <w:tblStyle w:val="9"/>
        <w:tblW w:w="7661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3"/>
        <w:gridCol w:w="599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tcBorders>
              <w:right w:val="nil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Byte1</w:t>
            </w:r>
          </w:p>
        </w:tc>
        <w:tc>
          <w:tcPr>
            <w:tcW w:w="5998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3" w:type="dxa"/>
            <w:tcBorders>
              <w:right w:val="nil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Byte2</w:t>
            </w:r>
          </w:p>
        </w:tc>
        <w:tc>
          <w:tcPr>
            <w:tcW w:w="5998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稳像关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稳像开</w:t>
            </w: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color w:val="auto"/>
          <w:sz w:val="21"/>
          <w:szCs w:val="21"/>
        </w:rPr>
      </w:pPr>
    </w:p>
    <w:bookmarkEnd w:id="11"/>
    <w:bookmarkEnd w:id="12"/>
    <w:bookmarkEnd w:id="13"/>
    <w:bookmarkEnd w:id="14"/>
    <w:bookmarkEnd w:id="15"/>
    <w:bookmarkEnd w:id="16"/>
    <w:p>
      <w:pPr>
        <w:widowControl w:val="0"/>
        <w:numPr>
          <w:ilvl w:val="0"/>
          <w:numId w:val="4"/>
        </w:numPr>
        <w:tabs>
          <w:tab w:val="left" w:pos="851"/>
        </w:tabs>
        <w:adjustRightInd w:val="0"/>
        <w:snapToGrid w:val="0"/>
        <w:spacing w:after="0" w:line="360" w:lineRule="auto"/>
        <w:ind w:left="0" w:firstLine="420" w:firstLineChars="200"/>
        <w:jc w:val="both"/>
        <w:rPr>
          <w:rFonts w:ascii="宋体"/>
          <w:color w:val="auto"/>
          <w:sz w:val="21"/>
          <w:szCs w:val="21"/>
          <w:lang w:val="zh-CN"/>
        </w:rPr>
      </w:pPr>
      <w:r>
        <w:rPr>
          <w:rFonts w:hint="eastAsia" w:ascii="宋体" w:hAnsi="宋体"/>
          <w:color w:val="auto"/>
          <w:sz w:val="21"/>
          <w:szCs w:val="21"/>
          <w:lang w:val="zh-CN"/>
        </w:rPr>
        <w:t>稳像工作模式</w:t>
      </w:r>
    </w:p>
    <w:tbl>
      <w:tblPr>
        <w:tblStyle w:val="9"/>
        <w:tblW w:w="7661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5"/>
        <w:gridCol w:w="597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Byte1</w:t>
            </w:r>
          </w:p>
        </w:tc>
        <w:tc>
          <w:tcPr>
            <w:tcW w:w="5976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Byte2</w:t>
            </w:r>
          </w:p>
        </w:tc>
        <w:tc>
          <w:tcPr>
            <w:tcW w:w="5976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default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0x00: 自动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平移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0x02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平移缩放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0x03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eastAsia="zh-CN"/>
              </w:rPr>
              <w:t>刚性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0x04: 透视</w:t>
            </w: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sz w:val="21"/>
          <w:szCs w:val="21"/>
        </w:rPr>
      </w:pPr>
    </w:p>
    <w:p>
      <w:pPr>
        <w:widowControl w:val="0"/>
        <w:numPr>
          <w:ilvl w:val="0"/>
          <w:numId w:val="4"/>
        </w:numPr>
        <w:tabs>
          <w:tab w:val="left" w:pos="851"/>
        </w:tabs>
        <w:adjustRightInd w:val="0"/>
        <w:snapToGrid w:val="0"/>
        <w:spacing w:after="0" w:line="360" w:lineRule="auto"/>
        <w:ind w:left="0" w:firstLine="420" w:firstLineChars="200"/>
        <w:jc w:val="both"/>
        <w:rPr>
          <w:rFonts w:ascii="宋体"/>
          <w:color w:val="auto"/>
          <w:sz w:val="21"/>
          <w:szCs w:val="21"/>
          <w:lang w:val="zh-CN"/>
        </w:rPr>
      </w:pPr>
      <w:r>
        <w:rPr>
          <w:rFonts w:hint="eastAsia" w:ascii="宋体"/>
          <w:color w:val="auto"/>
          <w:sz w:val="21"/>
          <w:szCs w:val="21"/>
          <w:lang w:val="zh-CN"/>
        </w:rPr>
        <w:t>稳像滤波参数</w:t>
      </w:r>
    </w:p>
    <w:tbl>
      <w:tblPr>
        <w:tblStyle w:val="9"/>
        <w:tblW w:w="7661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379"/>
        <w:gridCol w:w="628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Byte1</w:t>
            </w:r>
          </w:p>
        </w:tc>
        <w:tc>
          <w:tcPr>
            <w:tcW w:w="6282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</w:t>
            </w:r>
            <w:r>
              <w:rPr>
                <w:rFonts w:hint="eastAsia" w:ascii="宋体" w:hAnsi="宋体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9" w:type="dxa"/>
            <w:tcBorders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Byte2</w:t>
            </w:r>
          </w:p>
        </w:tc>
        <w:tc>
          <w:tcPr>
            <w:tcW w:w="6282" w:type="dxa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0x00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滤波高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0x01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滤波中</w:t>
            </w:r>
          </w:p>
          <w:p>
            <w:pPr>
              <w:adjustRightInd w:val="0"/>
              <w:snapToGrid w:val="0"/>
              <w:spacing w:beforeLines="20" w:afterLines="20" w:line="240" w:lineRule="auto"/>
              <w:jc w:val="both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0x02</w:t>
            </w:r>
            <w:r>
              <w:rPr>
                <w:rFonts w:hint="eastAsia" w:ascii="宋体" w:hAnsi="宋体"/>
                <w:color w:val="auto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滤波低</w:t>
            </w:r>
          </w:p>
        </w:tc>
      </w:tr>
    </w:tbl>
    <w:p>
      <w:pPr>
        <w:adjustRightInd w:val="0"/>
        <w:snapToGrid w:val="0"/>
        <w:spacing w:after="0" w:line="360" w:lineRule="auto"/>
        <w:ind w:firstLine="420" w:firstLineChars="200"/>
        <w:jc w:val="both"/>
        <w:rPr>
          <w:rFonts w:ascii="宋体" w:cs="宋体"/>
          <w:color w:val="FF0000"/>
          <w:sz w:val="21"/>
          <w:szCs w:val="21"/>
        </w:rPr>
      </w:pPr>
      <w:bookmarkStart w:id="17" w:name="_Toc22685_WPSOffice_Level2"/>
      <w:bookmarkStart w:id="18" w:name="_Toc20765_WPSOffice_Level2"/>
      <w:bookmarkStart w:id="19" w:name="_Toc27411_WPSOffice_Level2"/>
      <w:bookmarkStart w:id="20" w:name="_Toc30681_WPSOffice_Level2"/>
      <w:bookmarkStart w:id="21" w:name="_Toc13550_WPSOffice_Level2"/>
      <w:bookmarkStart w:id="22" w:name="_Toc19416_WPSOffice_Level2"/>
    </w:p>
    <w:bookmarkEnd w:id="17"/>
    <w:bookmarkEnd w:id="18"/>
    <w:bookmarkEnd w:id="19"/>
    <w:bookmarkEnd w:id="20"/>
    <w:bookmarkEnd w:id="21"/>
    <w:bookmarkEnd w:id="22"/>
    <w:p>
      <w:pPr>
        <w:spacing w:after="0" w:line="240" w:lineRule="auto"/>
        <w:rPr>
          <w:rFonts w:ascii="宋体"/>
          <w:sz w:val="21"/>
          <w:szCs w:val="21"/>
        </w:rPr>
      </w:pPr>
    </w:p>
    <w:p>
      <w:pPr>
        <w:spacing w:after="0" w:line="240" w:lineRule="auto"/>
        <w:rPr>
          <w:rFonts w:ascii="宋体"/>
          <w:sz w:val="21"/>
          <w:szCs w:val="21"/>
        </w:rPr>
      </w:pPr>
    </w:p>
    <w:p>
      <w:pPr>
        <w:spacing w:after="0" w:line="240" w:lineRule="auto"/>
        <w:rPr>
          <w:rFonts w:ascii="宋体"/>
          <w:sz w:val="21"/>
          <w:szCs w:val="21"/>
        </w:rPr>
      </w:pPr>
    </w:p>
    <w:p>
      <w:pPr>
        <w:spacing w:after="0" w:line="240" w:lineRule="auto"/>
        <w:rPr>
          <w:rFonts w:ascii="宋体"/>
          <w:sz w:val="21"/>
          <w:szCs w:val="21"/>
        </w:rPr>
      </w:pP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PS: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实例：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（十六进制）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bookmarkStart w:id="23" w:name="_GoBack"/>
      <w:bookmarkEnd w:id="23"/>
      <w:r>
        <w:rPr>
          <w:rFonts w:hint="eastAsia" w:ascii="宋体"/>
          <w:sz w:val="21"/>
          <w:szCs w:val="21"/>
          <w:lang w:val="en-US" w:eastAsia="zh-CN"/>
        </w:rPr>
        <w:t>eb 40 02 00 00 00 00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预处理 关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00 01 01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预处理 开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01 00 01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增强 关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01 01 00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增强 开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02 00 02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 关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02 01 03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 开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03 00 03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稳像模式   自动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03 01 02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稳像模式   平移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03 02 01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稳像模式   平移缩放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03 03 00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稳像模式   刚性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03 04 07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稳像模式   透视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04 00 04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稳像参数   高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04 01 05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稳像参数   中</w:t>
      </w:r>
    </w:p>
    <w:p>
      <w:pPr>
        <w:spacing w:after="0" w:line="240" w:lineRule="auto"/>
        <w:rPr>
          <w:rFonts w:hint="eastAsia" w:ascii="宋体"/>
          <w:sz w:val="21"/>
          <w:szCs w:val="21"/>
          <w:lang w:val="en-US" w:eastAsia="zh-CN"/>
        </w:rPr>
      </w:pPr>
      <w:r>
        <w:rPr>
          <w:rFonts w:hint="eastAsia" w:ascii="宋体"/>
          <w:sz w:val="21"/>
          <w:szCs w:val="21"/>
          <w:lang w:val="en-US" w:eastAsia="zh-CN"/>
        </w:rPr>
        <w:t>eb 40 02 00 04 02 06</w:t>
      </w:r>
      <w:r>
        <w:rPr>
          <w:rFonts w:hint="eastAsia" w:ascii="宋体"/>
          <w:sz w:val="21"/>
          <w:szCs w:val="21"/>
          <w:lang w:val="en-US" w:eastAsia="zh-CN"/>
        </w:rPr>
        <w:tab/>
      </w:r>
      <w:r>
        <w:rPr>
          <w:rFonts w:hint="eastAsia" w:ascii="宋体"/>
          <w:sz w:val="21"/>
          <w:szCs w:val="21"/>
          <w:lang w:val="en-US" w:eastAsia="zh-CN"/>
        </w:rPr>
        <w:t>稳像参数   低</w:t>
      </w:r>
    </w:p>
    <w:sectPr>
      <w:footerReference r:id="rId3" w:type="default"/>
      <w:pgSz w:w="11906" w:h="16838"/>
      <w:pgMar w:top="1440" w:right="1800" w:bottom="1440" w:left="1800" w:header="850" w:footer="850" w:gutter="0"/>
      <w:pgNumType w:start="1"/>
      <w:cols w:space="720" w:num="1"/>
      <w:formProt w:val="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3354"/>
    <w:multiLevelType w:val="multilevel"/>
    <w:tmpl w:val="18A93354"/>
    <w:lvl w:ilvl="0" w:tentative="0">
      <w:start w:val="1"/>
      <w:numFmt w:val="decimal"/>
      <w:suff w:val="space"/>
      <w:lvlText w:val="(%1)"/>
      <w:lvlJc w:val="left"/>
      <w:pPr>
        <w:ind w:left="720" w:hanging="360"/>
      </w:pPr>
      <w:rPr>
        <w:rFonts w:hint="default" w:ascii="宋体" w:hAnsi="宋体" w:eastAsia="宋体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">
    <w:nsid w:val="51A4546D"/>
    <w:multiLevelType w:val="multilevel"/>
    <w:tmpl w:val="51A4546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1037C89"/>
    <w:multiLevelType w:val="multilevel"/>
    <w:tmpl w:val="61037C8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3">
    <w:nsid w:val="7AF1330F"/>
    <w:multiLevelType w:val="multilevel"/>
    <w:tmpl w:val="7AF1330F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NotTrackMoves/>
  <w:documentProtection w:enforcement="0"/>
  <w:defaultTabStop w:val="420"/>
  <w:drawingGridHorizontalSpacing w:val="105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11F8"/>
    <w:rsid w:val="000043AE"/>
    <w:rsid w:val="000261FB"/>
    <w:rsid w:val="00046E62"/>
    <w:rsid w:val="00052150"/>
    <w:rsid w:val="000571C2"/>
    <w:rsid w:val="0006062D"/>
    <w:rsid w:val="00060B0B"/>
    <w:rsid w:val="0007331B"/>
    <w:rsid w:val="00074823"/>
    <w:rsid w:val="000B7C89"/>
    <w:rsid w:val="000E057B"/>
    <w:rsid w:val="000F421B"/>
    <w:rsid w:val="001018E3"/>
    <w:rsid w:val="00102429"/>
    <w:rsid w:val="00110D31"/>
    <w:rsid w:val="0011609D"/>
    <w:rsid w:val="00122589"/>
    <w:rsid w:val="00135BF1"/>
    <w:rsid w:val="00140BC0"/>
    <w:rsid w:val="00141D0B"/>
    <w:rsid w:val="00192E7C"/>
    <w:rsid w:val="001A0C54"/>
    <w:rsid w:val="001B194F"/>
    <w:rsid w:val="001C5F20"/>
    <w:rsid w:val="001D56F0"/>
    <w:rsid w:val="001E28F8"/>
    <w:rsid w:val="001E6A0F"/>
    <w:rsid w:val="00201023"/>
    <w:rsid w:val="0020102B"/>
    <w:rsid w:val="00210923"/>
    <w:rsid w:val="00215638"/>
    <w:rsid w:val="00235652"/>
    <w:rsid w:val="00236CB1"/>
    <w:rsid w:val="002721BE"/>
    <w:rsid w:val="002966E3"/>
    <w:rsid w:val="002B6948"/>
    <w:rsid w:val="002E0CD4"/>
    <w:rsid w:val="00304527"/>
    <w:rsid w:val="003056AD"/>
    <w:rsid w:val="00305B63"/>
    <w:rsid w:val="003106AF"/>
    <w:rsid w:val="0031305E"/>
    <w:rsid w:val="00342AA4"/>
    <w:rsid w:val="003628ED"/>
    <w:rsid w:val="00383A01"/>
    <w:rsid w:val="003C1758"/>
    <w:rsid w:val="003C3AFA"/>
    <w:rsid w:val="003C5B63"/>
    <w:rsid w:val="003E565F"/>
    <w:rsid w:val="003E5C09"/>
    <w:rsid w:val="003F72FC"/>
    <w:rsid w:val="003F76AF"/>
    <w:rsid w:val="00410F76"/>
    <w:rsid w:val="00412E93"/>
    <w:rsid w:val="00432552"/>
    <w:rsid w:val="0043325D"/>
    <w:rsid w:val="00435265"/>
    <w:rsid w:val="00435725"/>
    <w:rsid w:val="00457924"/>
    <w:rsid w:val="00457B06"/>
    <w:rsid w:val="00467600"/>
    <w:rsid w:val="00485F48"/>
    <w:rsid w:val="00490379"/>
    <w:rsid w:val="004963D8"/>
    <w:rsid w:val="004C752B"/>
    <w:rsid w:val="004D2871"/>
    <w:rsid w:val="004D7440"/>
    <w:rsid w:val="004F7263"/>
    <w:rsid w:val="00523547"/>
    <w:rsid w:val="0052399E"/>
    <w:rsid w:val="00556E91"/>
    <w:rsid w:val="005627E1"/>
    <w:rsid w:val="0058195C"/>
    <w:rsid w:val="00593DC8"/>
    <w:rsid w:val="005A0755"/>
    <w:rsid w:val="005D17E8"/>
    <w:rsid w:val="005D2629"/>
    <w:rsid w:val="005D7CD0"/>
    <w:rsid w:val="005E6B18"/>
    <w:rsid w:val="0060780B"/>
    <w:rsid w:val="00632294"/>
    <w:rsid w:val="00634230"/>
    <w:rsid w:val="0064575B"/>
    <w:rsid w:val="00646199"/>
    <w:rsid w:val="0065404D"/>
    <w:rsid w:val="00665CB8"/>
    <w:rsid w:val="006844FD"/>
    <w:rsid w:val="00695957"/>
    <w:rsid w:val="006A55E8"/>
    <w:rsid w:val="006A644E"/>
    <w:rsid w:val="006C3936"/>
    <w:rsid w:val="006C63D8"/>
    <w:rsid w:val="006E11F8"/>
    <w:rsid w:val="006F1BA3"/>
    <w:rsid w:val="006F5F6F"/>
    <w:rsid w:val="006F78DF"/>
    <w:rsid w:val="00704863"/>
    <w:rsid w:val="00713E4F"/>
    <w:rsid w:val="00720461"/>
    <w:rsid w:val="0072058F"/>
    <w:rsid w:val="00721D67"/>
    <w:rsid w:val="00726459"/>
    <w:rsid w:val="00726CFA"/>
    <w:rsid w:val="007314D9"/>
    <w:rsid w:val="0073285C"/>
    <w:rsid w:val="00734250"/>
    <w:rsid w:val="0073463E"/>
    <w:rsid w:val="00741455"/>
    <w:rsid w:val="00757120"/>
    <w:rsid w:val="007731FE"/>
    <w:rsid w:val="00797DE9"/>
    <w:rsid w:val="007B2741"/>
    <w:rsid w:val="007C5E0C"/>
    <w:rsid w:val="007C6BFF"/>
    <w:rsid w:val="007D2E7F"/>
    <w:rsid w:val="007D7659"/>
    <w:rsid w:val="007F161A"/>
    <w:rsid w:val="007F6A81"/>
    <w:rsid w:val="00802126"/>
    <w:rsid w:val="0082179F"/>
    <w:rsid w:val="00824A4D"/>
    <w:rsid w:val="00864A3B"/>
    <w:rsid w:val="008A381E"/>
    <w:rsid w:val="008C1F77"/>
    <w:rsid w:val="008D12B6"/>
    <w:rsid w:val="008E4BC1"/>
    <w:rsid w:val="00933741"/>
    <w:rsid w:val="0093382D"/>
    <w:rsid w:val="00942A44"/>
    <w:rsid w:val="00972839"/>
    <w:rsid w:val="00985727"/>
    <w:rsid w:val="009A31BC"/>
    <w:rsid w:val="009B1563"/>
    <w:rsid w:val="009B38E9"/>
    <w:rsid w:val="009C0806"/>
    <w:rsid w:val="009C1D34"/>
    <w:rsid w:val="009E0F7E"/>
    <w:rsid w:val="009E3615"/>
    <w:rsid w:val="009E722B"/>
    <w:rsid w:val="00A14427"/>
    <w:rsid w:val="00A24490"/>
    <w:rsid w:val="00A25AAE"/>
    <w:rsid w:val="00A44C49"/>
    <w:rsid w:val="00A50337"/>
    <w:rsid w:val="00A53632"/>
    <w:rsid w:val="00A53B5B"/>
    <w:rsid w:val="00A55883"/>
    <w:rsid w:val="00A55B0A"/>
    <w:rsid w:val="00A6428F"/>
    <w:rsid w:val="00A8393D"/>
    <w:rsid w:val="00A84D15"/>
    <w:rsid w:val="00A95D41"/>
    <w:rsid w:val="00A96C39"/>
    <w:rsid w:val="00AA0148"/>
    <w:rsid w:val="00AA61A6"/>
    <w:rsid w:val="00AC24BD"/>
    <w:rsid w:val="00AD4D72"/>
    <w:rsid w:val="00AD574F"/>
    <w:rsid w:val="00AE5A54"/>
    <w:rsid w:val="00AE724B"/>
    <w:rsid w:val="00AE784F"/>
    <w:rsid w:val="00AF216A"/>
    <w:rsid w:val="00AF260D"/>
    <w:rsid w:val="00AF2F0A"/>
    <w:rsid w:val="00AF3838"/>
    <w:rsid w:val="00B021D0"/>
    <w:rsid w:val="00B0454F"/>
    <w:rsid w:val="00B238F0"/>
    <w:rsid w:val="00B23ADA"/>
    <w:rsid w:val="00B25EB9"/>
    <w:rsid w:val="00B431D7"/>
    <w:rsid w:val="00B91AD6"/>
    <w:rsid w:val="00B94011"/>
    <w:rsid w:val="00BB59E4"/>
    <w:rsid w:val="00BC49B8"/>
    <w:rsid w:val="00BD47C7"/>
    <w:rsid w:val="00BE55EC"/>
    <w:rsid w:val="00BE7D1B"/>
    <w:rsid w:val="00BF4B67"/>
    <w:rsid w:val="00C05E0D"/>
    <w:rsid w:val="00C2756A"/>
    <w:rsid w:val="00C32FFD"/>
    <w:rsid w:val="00C53E47"/>
    <w:rsid w:val="00C66AC8"/>
    <w:rsid w:val="00C7565F"/>
    <w:rsid w:val="00C81831"/>
    <w:rsid w:val="00C9541B"/>
    <w:rsid w:val="00C9730D"/>
    <w:rsid w:val="00CA02E8"/>
    <w:rsid w:val="00CA27CF"/>
    <w:rsid w:val="00CB22CE"/>
    <w:rsid w:val="00CB2FB6"/>
    <w:rsid w:val="00CB5CE6"/>
    <w:rsid w:val="00CD1DA0"/>
    <w:rsid w:val="00CD2B37"/>
    <w:rsid w:val="00CE6499"/>
    <w:rsid w:val="00CF203F"/>
    <w:rsid w:val="00D118EF"/>
    <w:rsid w:val="00D248BA"/>
    <w:rsid w:val="00D2740C"/>
    <w:rsid w:val="00D31D93"/>
    <w:rsid w:val="00D52F2C"/>
    <w:rsid w:val="00D609DC"/>
    <w:rsid w:val="00D626CF"/>
    <w:rsid w:val="00D662C8"/>
    <w:rsid w:val="00D92B3B"/>
    <w:rsid w:val="00DA15DA"/>
    <w:rsid w:val="00DA5186"/>
    <w:rsid w:val="00DB27B0"/>
    <w:rsid w:val="00DD531E"/>
    <w:rsid w:val="00DE3261"/>
    <w:rsid w:val="00DE3D6B"/>
    <w:rsid w:val="00E36212"/>
    <w:rsid w:val="00E41D76"/>
    <w:rsid w:val="00E43D4A"/>
    <w:rsid w:val="00E44641"/>
    <w:rsid w:val="00E76214"/>
    <w:rsid w:val="00E9375A"/>
    <w:rsid w:val="00EF1A8F"/>
    <w:rsid w:val="00EF2D4D"/>
    <w:rsid w:val="00F21BBD"/>
    <w:rsid w:val="00F23537"/>
    <w:rsid w:val="00F26901"/>
    <w:rsid w:val="00F32791"/>
    <w:rsid w:val="00F367F6"/>
    <w:rsid w:val="00F430A5"/>
    <w:rsid w:val="00F66623"/>
    <w:rsid w:val="00F667FA"/>
    <w:rsid w:val="00F9534D"/>
    <w:rsid w:val="00FA51A9"/>
    <w:rsid w:val="00FC2E1E"/>
    <w:rsid w:val="00FD144E"/>
    <w:rsid w:val="00FD2D98"/>
    <w:rsid w:val="00FD4D92"/>
    <w:rsid w:val="00FE2C53"/>
    <w:rsid w:val="00FF5363"/>
    <w:rsid w:val="01C85C61"/>
    <w:rsid w:val="02756010"/>
    <w:rsid w:val="055C16DC"/>
    <w:rsid w:val="0B7C1B54"/>
    <w:rsid w:val="0D032B2E"/>
    <w:rsid w:val="0F4A26A0"/>
    <w:rsid w:val="11FC3B55"/>
    <w:rsid w:val="16853B43"/>
    <w:rsid w:val="21CD4486"/>
    <w:rsid w:val="25AE03BC"/>
    <w:rsid w:val="270167A3"/>
    <w:rsid w:val="28841887"/>
    <w:rsid w:val="2A68633A"/>
    <w:rsid w:val="2B914B2C"/>
    <w:rsid w:val="30C57D68"/>
    <w:rsid w:val="338D3C1E"/>
    <w:rsid w:val="356120A2"/>
    <w:rsid w:val="358F19D2"/>
    <w:rsid w:val="365006C2"/>
    <w:rsid w:val="37E2694D"/>
    <w:rsid w:val="38344D7E"/>
    <w:rsid w:val="38A4534C"/>
    <w:rsid w:val="3B93798B"/>
    <w:rsid w:val="3BFD5682"/>
    <w:rsid w:val="41AF6198"/>
    <w:rsid w:val="431A3B9B"/>
    <w:rsid w:val="49AA0A40"/>
    <w:rsid w:val="4AB172C0"/>
    <w:rsid w:val="4D353702"/>
    <w:rsid w:val="4E7056D5"/>
    <w:rsid w:val="51B8711B"/>
    <w:rsid w:val="549675AB"/>
    <w:rsid w:val="560F4491"/>
    <w:rsid w:val="583F0971"/>
    <w:rsid w:val="58A42FB1"/>
    <w:rsid w:val="5B3D007D"/>
    <w:rsid w:val="5BD44C90"/>
    <w:rsid w:val="5C1857DA"/>
    <w:rsid w:val="5D6222FE"/>
    <w:rsid w:val="5FB77F72"/>
    <w:rsid w:val="60CB440F"/>
    <w:rsid w:val="619305A3"/>
    <w:rsid w:val="64C9748D"/>
    <w:rsid w:val="661A0C6E"/>
    <w:rsid w:val="696E1187"/>
    <w:rsid w:val="697967F6"/>
    <w:rsid w:val="6B9E27E4"/>
    <w:rsid w:val="6DD653BC"/>
    <w:rsid w:val="6E391D7A"/>
    <w:rsid w:val="701F7D22"/>
    <w:rsid w:val="71EA2F64"/>
    <w:rsid w:val="749B59B6"/>
    <w:rsid w:val="75937271"/>
    <w:rsid w:val="78432089"/>
    <w:rsid w:val="794775A0"/>
    <w:rsid w:val="7DE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iPriority="99" w:name="footnote text" w:locked="1"/>
    <w:lsdException w:uiPriority="99" w:name="annotation text" w:locked="1"/>
    <w:lsdException w:qFormat="1" w:unhideWhenUsed="0" w:uiPriority="99" w:name="header" w:locked="1"/>
    <w:lsdException w:qFormat="1" w:unhideWhenUsed="0" w:uiPriority="99" w:semiHidden="0" w:name="footer" w:locked="1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99" w:semiHidden="0" w:name="List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 w:locked="1"/>
    <w:lsdException w:qFormat="1" w:unhideWhenUsed="0"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40" w:line="288" w:lineRule="auto"/>
    </w:pPr>
    <w:rPr>
      <w:rFonts w:ascii="Calibri" w:hAnsi="Calibri" w:eastAsia="宋体" w:cs="Times New Roman"/>
      <w:color w:val="00000A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99"/>
    <w:pPr>
      <w:spacing w:after="0" w:line="315" w:lineRule="atLeast"/>
      <w:ind w:left="720"/>
    </w:pPr>
    <w:rPr>
      <w:rFonts w:ascii="宋体" w:hAnsi="宋体"/>
      <w:szCs w:val="21"/>
      <w:lang w:eastAsia="ar-SA"/>
    </w:rPr>
  </w:style>
  <w:style w:type="paragraph" w:styleId="3">
    <w:name w:val="caption"/>
    <w:basedOn w:val="1"/>
    <w:next w:val="1"/>
    <w:qFormat/>
    <w:uiPriority w:val="99"/>
    <w:pPr>
      <w:suppressLineNumbers/>
      <w:spacing w:before="120" w:after="120" w:line="240" w:lineRule="auto"/>
    </w:pPr>
    <w:rPr>
      <w:i/>
      <w:iCs/>
      <w:sz w:val="24"/>
      <w:szCs w:val="24"/>
    </w:rPr>
  </w:style>
  <w:style w:type="paragraph" w:styleId="4">
    <w:name w:val="Document Map"/>
    <w:basedOn w:val="1"/>
    <w:link w:val="55"/>
    <w:semiHidden/>
    <w:qFormat/>
    <w:locked/>
    <w:uiPriority w:val="99"/>
    <w:rPr>
      <w:rFonts w:ascii="宋体"/>
      <w:sz w:val="18"/>
      <w:szCs w:val="18"/>
    </w:rPr>
  </w:style>
  <w:style w:type="paragraph" w:styleId="5">
    <w:name w:val="Body Text"/>
    <w:basedOn w:val="1"/>
    <w:link w:val="26"/>
    <w:qFormat/>
    <w:uiPriority w:val="99"/>
  </w:style>
  <w:style w:type="paragraph" w:styleId="6">
    <w:name w:val="footer"/>
    <w:basedOn w:val="1"/>
    <w:link w:val="54"/>
    <w:qFormat/>
    <w:lock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53"/>
    <w:semiHidden/>
    <w:qFormat/>
    <w:lock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List"/>
    <w:basedOn w:val="5"/>
    <w:qFormat/>
    <w:uiPriority w:val="99"/>
    <w:rPr>
      <w:rFonts w:cs="FreeSans"/>
    </w:rPr>
  </w:style>
  <w:style w:type="table" w:styleId="10">
    <w:name w:val="Table Grid"/>
    <w:basedOn w:val="9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semiHidden/>
    <w:qFormat/>
    <w:locked/>
    <w:uiPriority w:val="99"/>
    <w:rPr>
      <w:rFonts w:cs="Times New Roman"/>
      <w:color w:val="800080"/>
      <w:u w:val="single"/>
    </w:rPr>
  </w:style>
  <w:style w:type="character" w:styleId="13">
    <w:name w:val="Hyperlink"/>
    <w:basedOn w:val="11"/>
    <w:qFormat/>
    <w:locked/>
    <w:uiPriority w:val="99"/>
    <w:rPr>
      <w:rFonts w:cs="Times New Roman"/>
      <w:color w:val="0000FF"/>
      <w:u w:val="single"/>
    </w:rPr>
  </w:style>
  <w:style w:type="character" w:customStyle="1" w:styleId="14">
    <w:name w:val="Heading 2 Char"/>
    <w:semiHidden/>
    <w:qFormat/>
    <w:locked/>
    <w:uiPriority w:val="99"/>
    <w:rPr>
      <w:rFonts w:ascii="Cambria" w:hAnsi="Cambria" w:eastAsia="宋体"/>
      <w:b/>
      <w:color w:val="00000A"/>
      <w:sz w:val="32"/>
    </w:rPr>
  </w:style>
  <w:style w:type="character" w:customStyle="1" w:styleId="15">
    <w:name w:val="标题 2 Char"/>
    <w:semiHidden/>
    <w:qFormat/>
    <w:locked/>
    <w:uiPriority w:val="99"/>
    <w:rPr>
      <w:rFonts w:ascii="Cambria" w:hAnsi="Cambria" w:eastAsia="宋体"/>
      <w:b/>
      <w:sz w:val="32"/>
    </w:rPr>
  </w:style>
  <w:style w:type="character" w:customStyle="1" w:styleId="16">
    <w:name w:val="页眉 Char1"/>
    <w:semiHidden/>
    <w:qFormat/>
    <w:locked/>
    <w:uiPriority w:val="99"/>
  </w:style>
  <w:style w:type="character" w:customStyle="1" w:styleId="17">
    <w:name w:val="Header Char1"/>
    <w:semiHidden/>
    <w:qFormat/>
    <w:locked/>
    <w:uiPriority w:val="99"/>
  </w:style>
  <w:style w:type="character" w:customStyle="1" w:styleId="18">
    <w:name w:val="Footer Char1"/>
    <w:semiHidden/>
    <w:qFormat/>
    <w:locked/>
    <w:uiPriority w:val="99"/>
    <w:rPr>
      <w:sz w:val="18"/>
    </w:rPr>
  </w:style>
  <w:style w:type="character" w:customStyle="1" w:styleId="19">
    <w:name w:val="页脚 Char"/>
    <w:qFormat/>
    <w:uiPriority w:val="99"/>
    <w:rPr>
      <w:sz w:val="18"/>
    </w:rPr>
  </w:style>
  <w:style w:type="character" w:customStyle="1" w:styleId="20">
    <w:name w:val="ListLabel 1"/>
    <w:qFormat/>
    <w:uiPriority w:val="99"/>
  </w:style>
  <w:style w:type="character" w:customStyle="1" w:styleId="21">
    <w:name w:val="标题 Char"/>
    <w:qFormat/>
    <w:locked/>
    <w:uiPriority w:val="99"/>
    <w:rPr>
      <w:rFonts w:ascii="Cambria" w:hAnsi="Cambria"/>
      <w:b/>
      <w:color w:val="00000A"/>
      <w:sz w:val="32"/>
    </w:rPr>
  </w:style>
  <w:style w:type="character" w:customStyle="1" w:styleId="22">
    <w:name w:val="页眉 Char"/>
    <w:semiHidden/>
    <w:qFormat/>
    <w:locked/>
    <w:uiPriority w:val="99"/>
    <w:rPr>
      <w:color w:val="00000A"/>
      <w:sz w:val="18"/>
    </w:rPr>
  </w:style>
  <w:style w:type="character" w:customStyle="1" w:styleId="23">
    <w:name w:val="页脚 Char1"/>
    <w:semiHidden/>
    <w:qFormat/>
    <w:locked/>
    <w:uiPriority w:val="99"/>
    <w:rPr>
      <w:color w:val="00000A"/>
      <w:sz w:val="18"/>
    </w:rPr>
  </w:style>
  <w:style w:type="character" w:customStyle="1" w:styleId="24">
    <w:name w:val="ListLabel 2"/>
    <w:qFormat/>
    <w:uiPriority w:val="99"/>
  </w:style>
  <w:style w:type="paragraph" w:customStyle="1" w:styleId="25">
    <w:name w:val="Heading"/>
    <w:basedOn w:val="1"/>
    <w:next w:val="5"/>
    <w:qFormat/>
    <w:uiPriority w:val="9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character" w:customStyle="1" w:styleId="26">
    <w:name w:val="正文文本 Char"/>
    <w:basedOn w:val="11"/>
    <w:link w:val="5"/>
    <w:semiHidden/>
    <w:qFormat/>
    <w:uiPriority w:val="99"/>
    <w:rPr>
      <w:color w:val="00000A"/>
      <w:kern w:val="0"/>
      <w:sz w:val="20"/>
      <w:szCs w:val="20"/>
    </w:rPr>
  </w:style>
  <w:style w:type="paragraph" w:customStyle="1" w:styleId="27">
    <w:name w:val="Caption1"/>
    <w:basedOn w:val="1"/>
    <w:qFormat/>
    <w:uiPriority w:val="9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8">
    <w:name w:val="Index"/>
    <w:basedOn w:val="1"/>
    <w:qFormat/>
    <w:uiPriority w:val="99"/>
    <w:pPr>
      <w:suppressLineNumbers/>
    </w:pPr>
    <w:rPr>
      <w:rFonts w:cs="FreeSans"/>
    </w:rPr>
  </w:style>
  <w:style w:type="paragraph" w:customStyle="1" w:styleId="29">
    <w:name w:val="标题12"/>
    <w:basedOn w:val="1"/>
    <w:qFormat/>
    <w:uiPriority w:val="99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customStyle="1" w:styleId="30">
    <w:name w:val="正文12"/>
    <w:basedOn w:val="1"/>
    <w:qFormat/>
    <w:uiPriority w:val="99"/>
  </w:style>
  <w:style w:type="paragraph" w:customStyle="1" w:styleId="31">
    <w:name w:val="列表12"/>
    <w:basedOn w:val="30"/>
    <w:qFormat/>
    <w:uiPriority w:val="99"/>
  </w:style>
  <w:style w:type="paragraph" w:customStyle="1" w:styleId="32">
    <w:name w:val="题注12"/>
    <w:basedOn w:val="1"/>
    <w:qFormat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3">
    <w:name w:val="索引"/>
    <w:basedOn w:val="1"/>
    <w:qFormat/>
    <w:uiPriority w:val="99"/>
    <w:pPr>
      <w:suppressLineNumbers/>
      <w:spacing w:after="0" w:line="240" w:lineRule="auto"/>
    </w:pPr>
  </w:style>
  <w:style w:type="paragraph" w:customStyle="1" w:styleId="34">
    <w:name w:val="标题11"/>
    <w:basedOn w:val="1"/>
    <w:qFormat/>
    <w:uiPriority w:val="99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customStyle="1" w:styleId="35">
    <w:name w:val="正文11"/>
    <w:basedOn w:val="1"/>
    <w:qFormat/>
    <w:uiPriority w:val="99"/>
  </w:style>
  <w:style w:type="paragraph" w:customStyle="1" w:styleId="36">
    <w:name w:val="列表11"/>
    <w:basedOn w:val="35"/>
    <w:qFormat/>
    <w:uiPriority w:val="99"/>
  </w:style>
  <w:style w:type="paragraph" w:customStyle="1" w:styleId="37">
    <w:name w:val="题注11"/>
    <w:basedOn w:val="1"/>
    <w:qFormat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8">
    <w:name w:val="标题 11"/>
    <w:qFormat/>
    <w:uiPriority w:val="99"/>
    <w:pPr>
      <w:widowControl w:val="0"/>
      <w:outlineLvl w:val="0"/>
    </w:pPr>
    <w:rPr>
      <w:rFonts w:ascii="Calibri" w:hAnsi="Calibri" w:eastAsia="宋体" w:cs="Times New Roman"/>
      <w:lang w:val="en-US" w:eastAsia="zh-CN" w:bidi="hi-IN"/>
    </w:rPr>
  </w:style>
  <w:style w:type="paragraph" w:customStyle="1" w:styleId="39">
    <w:name w:val="大标题"/>
    <w:basedOn w:val="1"/>
    <w:qFormat/>
    <w:uiPriority w:val="99"/>
    <w:pPr>
      <w:keepNext/>
      <w:spacing w:before="240" w:after="120" w:line="240" w:lineRule="auto"/>
    </w:pPr>
    <w:rPr>
      <w:rFonts w:ascii="Liberation Sans" w:hAnsi="Liberation Sans" w:eastAsia="微软雅黑" w:cs="Droid Sans Fallback"/>
      <w:sz w:val="28"/>
      <w:szCs w:val="28"/>
    </w:rPr>
  </w:style>
  <w:style w:type="paragraph" w:customStyle="1" w:styleId="40">
    <w:name w:val="标题 21"/>
    <w:basedOn w:val="1"/>
    <w:qFormat/>
    <w:uiPriority w:val="99"/>
    <w:pPr>
      <w:spacing w:before="120" w:after="0" w:line="315" w:lineRule="atLeast"/>
      <w:outlineLvl w:val="1"/>
    </w:pPr>
    <w:rPr>
      <w:rFonts w:ascii="宋体" w:hAnsi="宋体"/>
      <w:b/>
      <w:sz w:val="48"/>
      <w:szCs w:val="21"/>
      <w:lang w:eastAsia="ar-SA"/>
    </w:rPr>
  </w:style>
  <w:style w:type="paragraph" w:customStyle="1" w:styleId="41">
    <w:name w:val="标题 31"/>
    <w:basedOn w:val="39"/>
    <w:qFormat/>
    <w:uiPriority w:val="99"/>
    <w:pPr>
      <w:outlineLvl w:val="2"/>
    </w:pPr>
  </w:style>
  <w:style w:type="paragraph" w:customStyle="1" w:styleId="42">
    <w:name w:val="页眉1"/>
    <w:basedOn w:val="1"/>
    <w:semiHidden/>
    <w:qFormat/>
    <w:lock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pacing w:after="0" w:line="240" w:lineRule="auto"/>
      <w:jc w:val="center"/>
    </w:pPr>
  </w:style>
  <w:style w:type="paragraph" w:customStyle="1" w:styleId="43">
    <w:name w:val="页脚1"/>
    <w:basedOn w:val="1"/>
    <w:semiHidden/>
    <w:qFormat/>
    <w:locked/>
    <w:uiPriority w:val="99"/>
    <w:pPr>
      <w:tabs>
        <w:tab w:val="center" w:pos="4153"/>
        <w:tab w:val="right" w:pos="8306"/>
      </w:tabs>
      <w:spacing w:after="0" w:line="240" w:lineRule="auto"/>
    </w:pPr>
    <w:rPr>
      <w:sz w:val="18"/>
      <w:szCs w:val="18"/>
    </w:rPr>
  </w:style>
  <w:style w:type="paragraph" w:customStyle="1" w:styleId="44">
    <w:name w:val="标题1"/>
    <w:basedOn w:val="1"/>
    <w:qFormat/>
    <w:uiPriority w:val="99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customStyle="1" w:styleId="45">
    <w:name w:val="正文1"/>
    <w:basedOn w:val="1"/>
    <w:qFormat/>
    <w:uiPriority w:val="99"/>
  </w:style>
  <w:style w:type="paragraph" w:customStyle="1" w:styleId="46">
    <w:name w:val="列表1"/>
    <w:basedOn w:val="1"/>
    <w:qFormat/>
    <w:uiPriority w:val="99"/>
  </w:style>
  <w:style w:type="paragraph" w:customStyle="1" w:styleId="47">
    <w:name w:val="题注1"/>
    <w:basedOn w:val="1"/>
    <w:qFormat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styleId="48">
    <w:name w:val="List Paragraph"/>
    <w:basedOn w:val="1"/>
    <w:qFormat/>
    <w:uiPriority w:val="99"/>
    <w:pPr>
      <w:spacing w:after="0" w:line="240" w:lineRule="auto"/>
      <w:ind w:firstLine="420"/>
    </w:pPr>
  </w:style>
  <w:style w:type="paragraph" w:customStyle="1" w:styleId="49">
    <w:name w:val="引文"/>
    <w:basedOn w:val="1"/>
    <w:qFormat/>
    <w:uiPriority w:val="99"/>
  </w:style>
  <w:style w:type="paragraph" w:customStyle="1" w:styleId="50">
    <w:name w:val="分标题"/>
    <w:basedOn w:val="39"/>
    <w:qFormat/>
    <w:uiPriority w:val="99"/>
  </w:style>
  <w:style w:type="paragraph" w:customStyle="1" w:styleId="51">
    <w:name w:val="表格内容"/>
    <w:basedOn w:val="1"/>
    <w:qFormat/>
    <w:uiPriority w:val="99"/>
  </w:style>
  <w:style w:type="paragraph" w:customStyle="1" w:styleId="52">
    <w:name w:val="表格标题"/>
    <w:basedOn w:val="51"/>
    <w:qFormat/>
    <w:uiPriority w:val="99"/>
  </w:style>
  <w:style w:type="character" w:customStyle="1" w:styleId="53">
    <w:name w:val="页眉 Char2"/>
    <w:basedOn w:val="11"/>
    <w:link w:val="7"/>
    <w:semiHidden/>
    <w:qFormat/>
    <w:locked/>
    <w:uiPriority w:val="99"/>
    <w:rPr>
      <w:rFonts w:cs="Times New Roman"/>
      <w:color w:val="00000A"/>
      <w:sz w:val="18"/>
      <w:szCs w:val="18"/>
      <w:lang w:bidi="ar-SA"/>
    </w:rPr>
  </w:style>
  <w:style w:type="character" w:customStyle="1" w:styleId="54">
    <w:name w:val="页脚 Char2"/>
    <w:basedOn w:val="11"/>
    <w:link w:val="6"/>
    <w:semiHidden/>
    <w:qFormat/>
    <w:locked/>
    <w:uiPriority w:val="99"/>
    <w:rPr>
      <w:rFonts w:cs="Times New Roman"/>
      <w:color w:val="00000A"/>
      <w:sz w:val="18"/>
      <w:szCs w:val="18"/>
      <w:lang w:bidi="ar-SA"/>
    </w:rPr>
  </w:style>
  <w:style w:type="character" w:customStyle="1" w:styleId="55">
    <w:name w:val="文档结构图 Char"/>
    <w:basedOn w:val="11"/>
    <w:link w:val="4"/>
    <w:semiHidden/>
    <w:qFormat/>
    <w:locked/>
    <w:uiPriority w:val="99"/>
    <w:rPr>
      <w:rFonts w:ascii="宋体" w:cs="Times New Roman"/>
      <w:color w:val="00000A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</Company>
  <Pages>12</Pages>
  <Words>1053</Words>
  <Characters>6008</Characters>
  <Lines>50</Lines>
  <Paragraphs>14</Paragraphs>
  <TotalTime>2</TotalTime>
  <ScaleCrop>false</ScaleCrop>
  <LinksUpToDate>false</LinksUpToDate>
  <CharactersWithSpaces>7047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2019-05-14T06:49:00Z</dcterms:created>
  <dc:creator>需要一點運气♪</dc:creator>
  <cp:lastModifiedBy>xt</cp:lastModifiedBy>
  <dcterms:modified xsi:type="dcterms:W3CDTF">2019-07-17T01:10:27Z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