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DD32A">
      <w:pPr>
        <w:spacing w:after="100"/>
        <w:jc w:val="center"/>
      </w:pPr>
      <w:r>
        <w:rPr>
          <w:rFonts w:ascii="微软雅黑" w:hAnsi="微软雅黑" w:eastAsia="微软雅黑"/>
          <w:b/>
          <w:color w:val="1E4F66"/>
          <w:sz w:val="36"/>
        </w:rPr>
        <w:t>AI搭建工作流真的更赚钱吗？</w:t>
      </w:r>
    </w:p>
    <w:p w14:paraId="666170D5">
      <w:pPr>
        <w:spacing w:after="280"/>
        <w:jc w:val="center"/>
      </w:pPr>
      <w:r>
        <w:rPr>
          <w:rFonts w:ascii="微软雅黑" w:hAnsi="微软雅黑" w:eastAsia="微软雅黑"/>
          <w:color w:val="6B7880"/>
          <w:sz w:val="20"/>
        </w:rPr>
        <w:t>从金融多Agent协作与短视频生产的两组模拟复盘看自动化的真实边界</w:t>
      </w:r>
    </w:p>
    <w:p w14:paraId="5F341795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近两年，AI工作流几乎成了效率的代名词：把任务拆给多个Agent，让它们并行检索、判断、生成和复盘，流程图越复杂，展示效果越像一条自动化生产线。很多演示把“能自动完成”直接等同于“能创造利润”，但两者中间隔着成本、时延和错误。工作流越长，越需要搬运上下文、重试调用，也越可能把简单任务变成需要人工收尾的系统。本文关心的不是AI能不能做出来，而是它是否比人工或单模型方案更划算。</w:t>
      </w:r>
    </w:p>
    <w:p w14:paraId="45AA3962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本文把净收益定义为新增收入与节省人工之和，减去token和接口、数据订阅、服务器、人工复核、返工、手续费、滑点以及错误造成的机会成本。案例中的金额、播放量和误差率来自一次内部压测的模拟复盘，按当时接口和平台单价折算，不等同于公开业绩。比较时同时记录结果质量、响应速度和可追责性，因为单看毛收益或播放量，容易把成本转移到系统之外。</w:t>
      </w:r>
    </w:p>
    <w:p w14:paraId="36C9D220">
      <w:pPr>
        <w:spacing w:before="160" w:after="80"/>
      </w:pPr>
      <w:r>
        <w:rPr>
          <w:rFonts w:ascii="微软雅黑" w:hAnsi="微软雅黑" w:eastAsia="微软雅黑"/>
          <w:b/>
          <w:color w:val="24566B"/>
          <w:sz w:val="26"/>
        </w:rPr>
        <w:t>一、金融行业：风险控制改善，账面仍然亏损</w:t>
      </w:r>
    </w:p>
    <w:p w14:paraId="533CDD36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我在一个月的沙盒账户里搭了八个Agent：市场监控每五分钟读取行情和公告，新闻Agent做去重与情绪评分，研究Agent生成因子信号，风控Agent检查波动率和回撤，组合Agent决定仓位，执行Agent拆单，合规Agent检查限仓，协调Agent负责投票和日志。账户本金100万元，单只股票仓位上限8%，单日最多迭代6轮，平均每条信号要经过4.7次交接。设计这套架构的初衷，是让不同角色互相制衡，避免一个模型既找机会又批准交易。核心结果如下。</w:t>
      </w:r>
    </w:p>
    <w:p w14:paraId="7A787F19">
      <w:pPr>
        <w:spacing w:before="60" w:after="60"/>
        <w:jc w:val="center"/>
      </w:pPr>
      <w:r>
        <w:rPr>
          <w:rFonts w:ascii="微软雅黑" w:hAnsi="微软雅黑" w:eastAsia="微软雅黑"/>
          <w:b/>
          <w:color w:val="24566B"/>
          <w:sz w:val="20"/>
        </w:rPr>
        <w:t>表1  金融交易多Agent工作流的成本—收益与风险指标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2F0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2F6F8F" w:sz="8" w:space="0"/>
              <w:left w:val="single" w:color="2F6F8F" w:sz="8" w:space="0"/>
              <w:bottom w:val="single" w:color="2F6F8F" w:sz="8" w:space="0"/>
              <w:right w:val="single" w:color="2F6F8F" w:sz="8" w:space="0"/>
              <w:insideH w:val="single" w:sz="8" w:space="0"/>
              <w:insideV w:val="single" w:sz="8" w:space="0"/>
            </w:tcBorders>
            <w:shd w:val="clear" w:color="auto" w:fill="2F6F8F"/>
            <w:vAlign w:val="center"/>
          </w:tcPr>
          <w:p w14:paraId="77E845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891" w:type="dxa"/>
            <w:tcBorders>
              <w:top w:val="single" w:color="2F6F8F" w:sz="8" w:space="0"/>
              <w:left w:val="single" w:color="2F6F8F" w:sz="8" w:space="0"/>
              <w:bottom w:val="single" w:color="2F6F8F" w:sz="8" w:space="0"/>
              <w:right w:val="single" w:color="2F6F8F" w:sz="8" w:space="0"/>
              <w:insideH w:val="single" w:sz="8" w:space="0"/>
              <w:insideV w:val="single" w:sz="8" w:space="0"/>
            </w:tcBorders>
            <w:shd w:val="clear" w:color="auto" w:fill="2F6F8F"/>
            <w:vAlign w:val="center"/>
          </w:tcPr>
          <w:p w14:paraId="571077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模拟结果</w:t>
            </w:r>
          </w:p>
        </w:tc>
        <w:tc>
          <w:tcPr>
            <w:tcW w:w="3969" w:type="dxa"/>
            <w:tcBorders>
              <w:top w:val="single" w:color="2F6F8F" w:sz="8" w:space="0"/>
              <w:left w:val="single" w:color="2F6F8F" w:sz="8" w:space="0"/>
              <w:bottom w:val="single" w:color="2F6F8F" w:sz="8" w:space="0"/>
              <w:right w:val="single" w:color="2F6F8F" w:sz="8" w:space="0"/>
              <w:insideH w:val="single" w:sz="8" w:space="0"/>
              <w:insideV w:val="single" w:sz="8" w:space="0"/>
            </w:tcBorders>
            <w:shd w:val="clear" w:color="auto" w:fill="2F6F8F"/>
            <w:vAlign w:val="center"/>
          </w:tcPr>
          <w:p w14:paraId="334C62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5739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09F710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运行周期与规模</w:t>
            </w:r>
          </w:p>
        </w:tc>
        <w:tc>
          <w:tcPr>
            <w:tcW w:w="289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761F2E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30个交易日；8个Agent；本金100万元</w:t>
            </w:r>
          </w:p>
        </w:tc>
        <w:tc>
          <w:tcPr>
            <w:tcW w:w="3969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307EAD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多Agent持续轮询市场</w:t>
            </w:r>
          </w:p>
        </w:tc>
      </w:tr>
      <w:tr w14:paraId="1999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D8DE3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Token消耗</w:t>
            </w:r>
          </w:p>
        </w:tc>
        <w:tc>
          <w:tcPr>
            <w:tcW w:w="289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EA86B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输入1.29亿；输出1590万</w:t>
            </w:r>
          </w:p>
        </w:tc>
        <w:tc>
          <w:tcPr>
            <w:tcW w:w="3969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DE784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上下文回填和重复传递较多</w:t>
            </w:r>
          </w:p>
        </w:tc>
      </w:tr>
      <w:tr w14:paraId="6B7A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5F9F98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Token费用</w:t>
            </w:r>
          </w:p>
        </w:tc>
        <w:tc>
          <w:tcPr>
            <w:tcW w:w="289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1EEA3F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10747元</w:t>
            </w:r>
          </w:p>
        </w:tc>
        <w:tc>
          <w:tcPr>
            <w:tcW w:w="3969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0E57E2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尚未计入数据、服务器和人工</w:t>
            </w:r>
          </w:p>
        </w:tc>
      </w:tr>
      <w:tr w14:paraId="31EC8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05D1B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交易结果</w:t>
            </w:r>
          </w:p>
        </w:tc>
        <w:tc>
          <w:tcPr>
            <w:tcW w:w="289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E2E5F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毛收益14200元；手续费及滑点5900元</w:t>
            </w:r>
          </w:p>
        </w:tc>
        <w:tc>
          <w:tcPr>
            <w:tcW w:w="3969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DFFF5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净交易收益8300元</w:t>
            </w:r>
          </w:p>
        </w:tc>
      </w:tr>
      <w:tr w14:paraId="2158B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2751AC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风险指标</w:t>
            </w:r>
          </w:p>
        </w:tc>
        <w:tc>
          <w:tcPr>
            <w:tcW w:w="289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57E474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重大公告漏报11次降至3次；最大回撤-6.8%降至-4.1%</w:t>
            </w:r>
          </w:p>
        </w:tc>
        <w:tc>
          <w:tcPr>
            <w:tcW w:w="3969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306098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风险识别有所改善</w:t>
            </w:r>
          </w:p>
        </w:tc>
      </w:tr>
      <w:tr w14:paraId="4111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228FF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信号质量</w:t>
            </w:r>
          </w:p>
        </w:tc>
        <w:tc>
          <w:tcPr>
            <w:tcW w:w="289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65030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精确率31%；重复触发18%</w:t>
            </w:r>
          </w:p>
        </w:tc>
        <w:tc>
          <w:tcPr>
            <w:tcW w:w="3969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C0CD8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并非所有信号都可执行</w:t>
            </w:r>
          </w:p>
        </w:tc>
      </w:tr>
      <w:tr w14:paraId="045A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5BF63A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经营口径</w:t>
            </w:r>
          </w:p>
        </w:tc>
        <w:tc>
          <w:tcPr>
            <w:tcW w:w="289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683CF5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加上订阅、服务器和人工后约亏损1万元</w:t>
            </w:r>
          </w:p>
        </w:tc>
        <w:tc>
          <w:tcPr>
            <w:tcW w:w="3969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681DB9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总成本超过增量收益</w:t>
            </w:r>
          </w:p>
        </w:tc>
      </w:tr>
    </w:tbl>
    <w:p w14:paraId="66E0AFC5">
      <w:pPr>
        <w:spacing w:after="0"/>
      </w:pPr>
    </w:p>
    <w:p w14:paraId="25670A76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从表1看，系统确实改善了公告漏报和最大回撤，但扣除手续费、滑点和10747元token费用后，收益仍不足以覆盖经营成本。模型表现更好，不等于项目值得经营；每一次调用和每一分钟等待都应折算成钱。</w:t>
      </w:r>
    </w:p>
    <w:p w14:paraId="02F95890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亏损来自多个环节叠加：监控Agent把同一事件的快讯、研报和转载当成三条证据，投票机制放大了重复信息；研究Agent的长篇理由被压缩成一句结论，风控看不到置信度；异步运行又让执行Agent拿着旧行情拆单。平均11分钟的延迟足以让小价差被滑点吞掉。复杂协作增加了覆盖面，也增加了通信、重试和同步成本。</w:t>
      </w:r>
      <w:bookmarkStart w:id="0" w:name="_GoBack"/>
      <w:bookmarkEnd w:id="0"/>
    </w:p>
    <w:p w14:paraId="3A591F4D">
      <w:pPr>
        <w:spacing w:before="160" w:after="80"/>
      </w:pPr>
      <w:r>
        <w:rPr>
          <w:rFonts w:ascii="微软雅黑" w:hAnsi="微软雅黑" w:eastAsia="微软雅黑"/>
          <w:b/>
          <w:color w:val="24566B"/>
          <w:sz w:val="26"/>
        </w:rPr>
        <w:t>二、短视频生产：流程越精细，内容越容易走样</w:t>
      </w:r>
    </w:p>
    <w:p w14:paraId="7C7460CD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第二个例子是一套被大量转发的短视频工作流。我把一条650字的知识类文案交给十一个Agent，依次完成选题、改写、核验、分镜、画面生成、配音、字幕、剪辑、合规、发布复盘，以及流程协调与质检。它看起来很精细：脚本要经过三轮改写，分镜精确到两秒，字幕和画面自动对齐，发布后还会根据数据改标题和封面。流程演示视频获得42.7万播放，评论区都在讨论Agent数量，但真正复用模板的17位创作者，三周后还在更新的只有4位。</w:t>
      </w:r>
    </w:p>
    <w:p w14:paraId="6F50A15F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一次完整运行消耗15.1万token，调用费132元，图片和视频渲染68元，人工抽查与返工110元，单条合计310元。一个月做30条投入9420元，平台分成、商品佣金和商单收入合计5954元，仍亏3466元。返工是隐性大项：事实、节奏和版权仍需人工检查，错误一旦在发布前被发现，脚本、配音和渲染都要重做。</w:t>
      </w:r>
    </w:p>
    <w:p w14:paraId="681FFE90">
      <w:pPr>
        <w:spacing w:before="60" w:after="60"/>
        <w:jc w:val="center"/>
      </w:pPr>
      <w:r>
        <w:rPr>
          <w:rFonts w:ascii="微软雅黑" w:hAnsi="微软雅黑" w:eastAsia="微软雅黑"/>
          <w:b/>
          <w:color w:val="24566B"/>
          <w:sz w:val="20"/>
        </w:rPr>
        <w:t>表2  短视频工作流复杂度对成本与传播效果的影响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</w:tblGrid>
      <w:tr w14:paraId="3FB0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2F6F8F" w:sz="8" w:space="0"/>
              <w:left w:val="single" w:color="2F6F8F" w:sz="8" w:space="0"/>
              <w:bottom w:val="single" w:color="2F6F8F" w:sz="8" w:space="0"/>
              <w:right w:val="single" w:color="2F6F8F" w:sz="8" w:space="0"/>
              <w:insideH w:val="single" w:sz="8" w:space="0"/>
              <w:insideV w:val="single" w:sz="8" w:space="0"/>
            </w:tcBorders>
            <w:shd w:val="clear" w:color="auto" w:fill="2F6F8F"/>
            <w:vAlign w:val="center"/>
          </w:tcPr>
          <w:p w14:paraId="65E8F3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w="1701" w:type="dxa"/>
            <w:tcBorders>
              <w:top w:val="single" w:color="2F6F8F" w:sz="8" w:space="0"/>
              <w:left w:val="single" w:color="2F6F8F" w:sz="8" w:space="0"/>
              <w:bottom w:val="single" w:color="2F6F8F" w:sz="8" w:space="0"/>
              <w:right w:val="single" w:color="2F6F8F" w:sz="8" w:space="0"/>
              <w:insideH w:val="single" w:sz="8" w:space="0"/>
              <w:insideV w:val="single" w:sz="8" w:space="0"/>
            </w:tcBorders>
            <w:shd w:val="clear" w:color="auto" w:fill="2F6F8F"/>
            <w:vAlign w:val="center"/>
          </w:tcPr>
          <w:p w14:paraId="078967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交接次数</w:t>
            </w:r>
          </w:p>
        </w:tc>
        <w:tc>
          <w:tcPr>
            <w:tcW w:w="1757" w:type="dxa"/>
            <w:tcBorders>
              <w:top w:val="single" w:color="2F6F8F" w:sz="8" w:space="0"/>
              <w:left w:val="single" w:color="2F6F8F" w:sz="8" w:space="0"/>
              <w:bottom w:val="single" w:color="2F6F8F" w:sz="8" w:space="0"/>
              <w:right w:val="single" w:color="2F6F8F" w:sz="8" w:space="0"/>
              <w:insideH w:val="single" w:sz="8" w:space="0"/>
              <w:insideV w:val="single" w:sz="8" w:space="0"/>
            </w:tcBorders>
            <w:shd w:val="clear" w:color="auto" w:fill="2F6F8F"/>
            <w:vAlign w:val="center"/>
          </w:tcPr>
          <w:p w14:paraId="395F97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单条成本</w:t>
            </w:r>
          </w:p>
        </w:tc>
        <w:tc>
          <w:tcPr>
            <w:tcW w:w="1757" w:type="dxa"/>
            <w:tcBorders>
              <w:top w:val="single" w:color="2F6F8F" w:sz="8" w:space="0"/>
              <w:left w:val="single" w:color="2F6F8F" w:sz="8" w:space="0"/>
              <w:bottom w:val="single" w:color="2F6F8F" w:sz="8" w:space="0"/>
              <w:right w:val="single" w:color="2F6F8F" w:sz="8" w:space="0"/>
              <w:insideH w:val="single" w:sz="8" w:space="0"/>
              <w:insideV w:val="single" w:sz="8" w:space="0"/>
            </w:tcBorders>
            <w:shd w:val="clear" w:color="auto" w:fill="2F6F8F"/>
            <w:vAlign w:val="center"/>
          </w:tcPr>
          <w:p w14:paraId="0ED5E5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文意偏差</w:t>
            </w:r>
          </w:p>
        </w:tc>
      </w:tr>
      <w:tr w14:paraId="3376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08A1CF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4 Agent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1F4D22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3次</w:t>
            </w:r>
          </w:p>
        </w:tc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4D1AF8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94元</w:t>
            </w:r>
          </w:p>
        </w:tc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2AAFBB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11%</w:t>
            </w:r>
          </w:p>
        </w:tc>
      </w:tr>
      <w:tr w14:paraId="78FEC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9338F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7 Agent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C3EC5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6次</w:t>
            </w:r>
          </w:p>
        </w:tc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4AE53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196元</w:t>
            </w:r>
          </w:p>
        </w:tc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807E5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19%</w:t>
            </w:r>
          </w:p>
        </w:tc>
      </w:tr>
      <w:tr w14:paraId="6D682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77E367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11 Agent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1E077E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10次</w:t>
            </w:r>
          </w:p>
        </w:tc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651863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310元</w:t>
            </w:r>
          </w:p>
        </w:tc>
        <w:tc>
          <w:tcPr>
            <w:tcW w:w="175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2F7F9"/>
            <w:vAlign w:val="center"/>
          </w:tcPr>
          <w:p w14:paraId="792FAE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A30"/>
                <w:sz w:val="18"/>
              </w:rPr>
              <w:t>31%</w:t>
            </w:r>
          </w:p>
        </w:tc>
      </w:tr>
    </w:tbl>
    <w:p w14:paraId="19CA92D6">
      <w:pPr>
        <w:spacing w:after="0"/>
      </w:pPr>
    </w:p>
    <w:p w14:paraId="4DEBA47A">
      <w:pPr>
        <w:spacing w:after="120" w:line="324" w:lineRule="auto"/>
        <w:ind w:firstLine="420"/>
      </w:pPr>
      <w:r>
        <w:rPr>
          <w:rFonts w:ascii="微软雅黑" w:hAnsi="微软雅黑" w:eastAsia="微软雅黑"/>
          <w:sz w:val="22"/>
        </w:rPr>
        <w:t>表2显示，复杂度和传播效果并没有同步增长。Agent从4个增加到11个，单条成本增加两倍以上，但传播效果的改善并不明显。交接时，脚本摘要会被分镜压成镜头和时长，画面Agent再把抽象概念翻成关键词，剪辑Agent按节奏删除停顿，原文的限定条件和因果关系逐层变薄。</w:t>
      </w:r>
    </w:p>
    <w:p w14:paraId="0C51C040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单次交接引入的语义变异概率约3.5%，十次后的理论保留率约70%，人工抽检的关键事实保留率为69%。误差集中在数字单位、时间顺序、因果方向以及“可能”与“必然”的区别。合规Agent删掉背景后，成片更平滑，却把有条件的判断说成了确定结论。</w:t>
      </w:r>
    </w:p>
    <w:p w14:paraId="08A134A2">
      <w:pPr>
        <w:spacing w:after="0"/>
        <w:ind w:firstLine="440" w:firstLineChars="200"/>
      </w:pPr>
      <w:r>
        <w:rPr>
          <w:rFonts w:ascii="微软雅黑" w:hAnsi="微软雅黑" w:eastAsia="微软雅黑"/>
          <w:color w:val="202A30"/>
          <w:sz w:val="22"/>
        </w:rPr>
        <w:t>后来我把流程缩成五个环节，只让一个Agent负责跨环节记忆，把原始文案、事实清单和禁用改写集中保存，其他Agent只能读取结构化字段。这样做牺牲了一部分流程展示的复杂度，</w:t>
      </w:r>
      <w:r>
        <w:rPr>
          <w:rFonts w:hint="eastAsia"/>
          <w:color w:val="202A30"/>
          <w:sz w:val="22"/>
          <w:lang w:val="en-US" w:eastAsia="zh-CN"/>
        </w:rPr>
        <w:t>便</w:t>
      </w:r>
      <w:r>
        <w:rPr>
          <w:rFonts w:ascii="微软雅黑" w:hAnsi="微软雅黑" w:eastAsia="微软雅黑"/>
          <w:color w:val="202A30"/>
          <w:sz w:val="22"/>
        </w:rPr>
        <w:t>减少了重复摘要和等待。</w:t>
      </w:r>
    </w:p>
    <w:p w14:paraId="62628442">
      <w:pPr>
        <w:spacing w:before="160" w:after="80"/>
      </w:pPr>
      <w:r>
        <w:rPr>
          <w:rFonts w:ascii="微软雅黑" w:hAnsi="微软雅黑" w:eastAsia="微软雅黑"/>
          <w:b/>
          <w:color w:val="24566B"/>
          <w:sz w:val="26"/>
        </w:rPr>
        <w:t>三、为什么复杂度会吞掉收益</w:t>
      </w:r>
    </w:p>
    <w:p w14:paraId="511D6451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两个案例的共同机制，是边际收益下降而边际成本上升。前几个Agent能补足资料收集、基础核验等缺口；继续增加角色后，新Agent处理的往往是已经处理过的信息，却会引入新的提示词、上下文和失败重试。工作流的真实收益，应是增量结果价值减去调用、交接、监督和错误成本；只要成本随流程长度快速上升，整体收益就会转负。</w:t>
      </w:r>
    </w:p>
    <w:p w14:paraId="0CABCE0A">
      <w:pPr>
        <w:spacing w:after="120" w:line="324" w:lineRule="auto"/>
        <w:ind w:firstLine="420"/>
      </w:pPr>
      <w:r>
        <w:rPr>
          <w:rFonts w:hint="eastAsia"/>
          <w:color w:val="202A30"/>
          <w:sz w:val="22"/>
          <w:lang w:val="en-US" w:eastAsia="zh-CN"/>
        </w:rPr>
        <w:t>我们把</w:t>
      </w:r>
      <w:r>
        <w:rPr>
          <w:rFonts w:ascii="微软雅黑" w:hAnsi="微软雅黑" w:eastAsia="微软雅黑"/>
          <w:color w:val="202A30"/>
          <w:sz w:val="22"/>
        </w:rPr>
        <w:t>工作流放进一场跑步比赛来理解。普通选手拿到路线就开始跑，哪怕主要靠人工完成，先到终点也能拿到成绩；搭建复杂AI工作流则像为了赢得比赛先造一枚火箭。火箭造出来以后当然更快，但如果比赛只有十分钟，别人</w:t>
      </w:r>
      <w:r>
        <w:rPr>
          <w:rFonts w:hint="eastAsia"/>
          <w:color w:val="202A30"/>
          <w:sz w:val="22"/>
          <w:lang w:val="en-US" w:eastAsia="zh-CN"/>
        </w:rPr>
        <w:t>都</w:t>
      </w:r>
      <w:r>
        <w:rPr>
          <w:rFonts w:ascii="微软雅黑" w:hAnsi="微软雅黑" w:eastAsia="微软雅黑"/>
          <w:color w:val="202A30"/>
          <w:sz w:val="22"/>
        </w:rPr>
        <w:t>已经冲过终点</w:t>
      </w:r>
      <w:r>
        <w:rPr>
          <w:rFonts w:hint="eastAsia"/>
          <w:color w:val="202A30"/>
          <w:sz w:val="22"/>
          <w:lang w:val="en-US" w:eastAsia="zh-CN"/>
        </w:rPr>
        <w:t>了</w:t>
      </w:r>
      <w:r>
        <w:rPr>
          <w:rFonts w:ascii="微软雅黑" w:hAnsi="微软雅黑" w:eastAsia="微软雅黑"/>
          <w:color w:val="202A30"/>
          <w:sz w:val="22"/>
        </w:rPr>
        <w:t>，团队还在调试发动机。金融市场和热点视频都是短周期赛道：窗口期一旦过去，再高效的系统也只能复盘刚才的机会。因此，工作流的收益不仅取决于任务执行速度，还取决于从零搭建、调试和维护所占的时间。只有系统能被长期重复使用，前期造火箭的成本才可能摊薄；一次性、时效性强的任务，更适合直接采用轻量方案。</w:t>
      </w:r>
    </w:p>
    <w:p w14:paraId="3BB9F052">
      <w:pPr>
        <w:spacing w:before="160" w:after="80"/>
      </w:pPr>
      <w:r>
        <w:rPr>
          <w:rFonts w:ascii="微软雅黑" w:hAnsi="微软雅黑" w:eastAsia="微软雅黑"/>
          <w:b/>
          <w:color w:val="24566B"/>
          <w:sz w:val="26"/>
        </w:rPr>
        <w:t>四、适用边界与改进策略</w:t>
      </w:r>
    </w:p>
    <w:p w14:paraId="2986D202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这并不意味着多Agent没有价值。它更适合规则清楚、任务重复、输入输出稳定、错误成本可控的场景，如资料整理、格式转换、基础客服和内部检索；实时判断、强事实约束或高责任场景则应保留人工确认。上线前至少比较单模型、简化Agent和完整方案，同时记录成本、时延、质量、返工率与最终收入。</w:t>
      </w:r>
    </w:p>
    <w:p w14:paraId="6893C744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设计上要设置token预算和熔断条件，超预算就回退；所有Agent共享同一份事实源，原文、数字和引用不能只存在于摘要里；高风险节点保留人工批准，并把修改原因写回日志；最后做消融测试，逐个删除环节。只有删除后出现可重复、可量化的损失，才有理由继续支付该环节的调用成本。</w:t>
      </w:r>
    </w:p>
    <w:p w14:paraId="784282D9">
      <w:pPr>
        <w:spacing w:before="160" w:after="80"/>
      </w:pPr>
      <w:r>
        <w:rPr>
          <w:rFonts w:ascii="微软雅黑" w:hAnsi="微软雅黑" w:eastAsia="微软雅黑"/>
          <w:b/>
          <w:color w:val="24566B"/>
          <w:sz w:val="26"/>
        </w:rPr>
        <w:t>五、结论</w:t>
      </w:r>
    </w:p>
    <w:p w14:paraId="3DEE158C">
      <w:pPr>
        <w:spacing w:after="120" w:line="324" w:lineRule="auto"/>
        <w:ind w:firstLine="420"/>
      </w:pPr>
      <w:r>
        <w:rPr>
          <w:rFonts w:ascii="微软雅黑" w:hAnsi="微软雅黑" w:eastAsia="微软雅黑"/>
          <w:color w:val="202A30"/>
          <w:sz w:val="22"/>
        </w:rPr>
        <w:t>金融实验说明，多Agent可以改善监测和风险识别，却可能因token、延迟和上下文维护而亏损；视频实验说明，复杂流程能制造漂亮演示，却可能在交接中损失原文含义。AI工作流不是利润机器，Agent数量也不是生产力的计量单位。真正值得投入的，是能在相同输入下稳定提高准确率、速度或转化率的环节。判断它是否成功，不应问有多少个Agent，而应问：删掉一个环节，结果是否会用数据证明</w:t>
      </w:r>
      <w:r>
        <w:rPr>
          <w:rFonts w:hint="eastAsia"/>
          <w:color w:val="202A30"/>
          <w:sz w:val="22"/>
          <w:lang w:val="en-US" w:eastAsia="zh-CN"/>
        </w:rPr>
        <w:t>其性能</w:t>
      </w:r>
      <w:r>
        <w:rPr>
          <w:rFonts w:ascii="微软雅黑" w:hAnsi="微软雅黑" w:eastAsia="微软雅黑"/>
          <w:color w:val="202A30"/>
          <w:sz w:val="22"/>
        </w:rPr>
        <w:t>变差。</w:t>
      </w:r>
    </w:p>
    <w:sectPr>
      <w:pgSz w:w="12240" w:h="15840"/>
      <w:pgMar w:top="1247" w:right="1332" w:bottom="1191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8975EE"/>
    <w:rsid w:val="4825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2597</Words>
  <Characters>2863</Characters>
  <Lines>0</Lines>
  <Paragraphs>0</Paragraphs>
  <TotalTime>7</TotalTime>
  <ScaleCrop>false</ScaleCrop>
  <LinksUpToDate>false</LinksUpToDate>
  <CharactersWithSpaces>2870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天秀羊羊</cp:lastModifiedBy>
  <dcterms:modified xsi:type="dcterms:W3CDTF">2026-09-26T02:45:31Z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eyJoZGlkIjoiYmRkZDI4OGYwMmM1OTAwNjNmNDRjZGVjNjFlYjM2OGMiLCJ1c2VySWQiOiIxMzMwMzEyOTU0In0=</vt:lpwstr>
  </property>
  <property fmtid="{D5CDD505-2E9C-101B-9397-08002B2CF9AE}" pid="3" name="KSOProductBuildVer">
    <vt:lpwstr>2052-12.1.0.28043</vt:lpwstr>
  </property>
  <property fmtid="{D5CDD505-2E9C-101B-9397-08002B2CF9AE}" pid="4" name="ICV">
    <vt:lpwstr>FC4016557EBC4508B69D5579756F137F_12</vt:lpwstr>
  </property>
</Properties>
</file>