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AI产业链小众标的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—— 完整研究报告（含链式逻辑推导）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研究方法：CDP浏览器搜索(50+轮) + yfinance数据验证(80+只标的，20+细分赛道)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搜索来源：Yahoo Finance、CNBC、Seeking Alpha、财联社、证券时报、东方财富、雪球、Reuters、Forbes等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生成日期：2026年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免责声明：本报告不构成投资建议。数据来源为公开信息，仅供参考。</w:t>
      </w:r>
    </w:p>
    <w:p>
      <w:r>
        <w:br w:type="page"/>
      </w:r>
    </w:p>
    <w:p>
      <w:pPr>
        <w:pStyle w:val="Heading1"/>
      </w:pPr>
      <w:r>
        <w:t xml:space="preserve">一、核心结论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A股没有同时满足[PE&lt;30 + AI卡脖子 + 小众]三重要求的标的。美股发现了4只符合标准的标的。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700"/>
        <w:gridCol w:w="142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扫描数量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PE&lt;30数量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逻辑+估值双符合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60+只冷门，20+赛道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3只（中科蓝讯/时代电气/润泽科技）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0只 X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20+只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6只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4只 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二、美股完整逻辑推演</w:t>
      </w:r>
    </w:p>
    <w:p>
      <w:pPr>
        <w:spacing w:after="60"/>
      </w:pPr>
    </w:p>
    <w:p>
      <w:pPr>
        <w:pStyle w:val="Heading2"/>
      </w:pPr>
      <w:r>
        <w:t xml:space="preserve">标的1：超微电脑 SMCI</w:t>
      </w:r>
    </w:p>
    <w:p>
      <w:pPr>
        <w:pStyle w:val="Heading3"/>
      </w:pPr>
      <w:r>
        <w:t xml:space="preserve">第一性原理变量 → 需求保证的链式推导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变量：AI训练/推理算力需求每12-18个月翻10倍
  ↓
GPU从H100→B200→Rubin，单GPU功耗从350W→1500W+
  ↓
单台服务器从8 GPU→72 GPU(NVL72)，功耗从3kW→130kW+
  ↓
传统风冷散热无法支撑 → DLC液冷从[可选]变[必选]
  ↓
SMCI是全球最早大规模量产DLC液冷AI服务器的厂商（技术壁垒）
  ↓
超大规模云厂商(AWS/Azure/GCP)的液冷服务器订单向SMCI倾斜
  ↓
SMCI营收: FY24 $150亿 → FY25 $236亿(+57%) → FY26指引$360亿(+52%)</w:t>
      </w:r>
    </w:p>
    <w:p>
      <w:pPr>
        <w:spacing w:after="60"/>
      </w:pPr>
    </w:p>
    <w:p>
      <w:pPr>
        <w:pStyle w:val="Heading3"/>
      </w:pPr>
      <w:r>
        <w:t xml:space="preserve">数据支撑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具体数据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AI服务器营收占比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&gt;70%（FY2025），且仍在提升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长江证券研报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DLC液冷渗透率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从FY24的20% → FY26预期的70%+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CNBC报道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FY26营收指引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$360亿（管理层保守指引，分析师预期更高）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FY26业绩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营收略miss但AI积压订单创历史新高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CNBC/Earnings Call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21.4x - 按传统服务器代工商估值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Fwd 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12.5x - 利润增速远未被消化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毛利率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12-14%（偏低，但DLC方案高5-8pct）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财报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为什么存在定价错误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Hindenburg Research在2024年8月发布做空报告后：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做空指控：关联交易、出口管制风险、审计问题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审计延迟：年报从8月推迟到11月，引发退市恐慌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市场思维定势：认为AI服务器是[量大利薄]的代工生意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实际三点证伪：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 审计已完成，无退市风险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 DLC液冷技术有壁垒(100+专利)，不是简单组装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 Blackwell Ultra/Rubin架构下液冷是唯一方案，SMCI是少数能量产厂商</w:t>
      </w:r>
    </w:p>
    <w:p>
      <w:pPr>
        <w:spacing w:after="60"/>
      </w:pPr>
    </w:p>
    <w:p>
      <w:pPr>
        <w:pStyle w:val="Heading3"/>
      </w:pPr>
      <w:r>
        <w:t xml:space="preserve">AI利润弹性量化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FY26 $360亿营收 x 13%毛利率 = $46.8亿毛利
扣除$20亿费用后约 $26.8亿净利 → Fwd PE约 360亿/26.8亿 = 13.4x
如果毛利率改善到15%（DLC占比提升）→ 净利$34亿 → PE仅10.6x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标的2：美光科技 MU</w:t>
      </w:r>
    </w:p>
    <w:p>
      <w:pPr>
        <w:pStyle w:val="Heading3"/>
      </w:pPr>
      <w:r>
        <w:t xml:space="preserve">第一性原理变量 → 需求保证的链式推导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变量：AI大模型参数量每18个月翻100倍（GPT-3 175B→GPT-4 1.8T→GPT-5预估10T+）
  ↓
模型参数需要存储在GPU的HBM中（HBM是AI芯片的[高速缓存]）
  ↓
H100：80GB HBM → B200：192GB HBM → Rubin：288GB HBM+
  ↓
每代升级：容量翻倍 x 带宽翻倍 x 单价涨30-50%
  ↓
DRAM厂从[按晶圆产能定价]转向[按HBM颗粒定价]（价值量暴增）
  ↓
美光2024下半年打入NVIDIA HBM3e供应链（此前只有SK海力士和三星）
  ↓
HBM4量产（2026H2）：密度翻倍 → 美光份额从0→25-30%+
  ↓
美光HBM营收：FY25 ~$100亿 → FY26预估$200亿+</w:t>
      </w:r>
    </w:p>
    <w:p>
      <w:pPr>
        <w:spacing w:after="60"/>
      </w:pPr>
    </w:p>
    <w:p>
      <w:pPr>
        <w:pStyle w:val="Heading3"/>
      </w:pPr>
      <w:r>
        <w:t xml:space="preserve">数据支撑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具体数据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HBM营收FY25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~$100亿（首次成为最大收入来源）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Micron财报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HBM营收FY26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分析师预估$200亿+（翻倍）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多家券商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HBM4进入NVIDIA链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2025年底确认，2026H2量产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Micron官方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CapEx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$200亿投资HBM产能（爱达荷州新厂）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techovedas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FY25总营收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$351亿（+196% YoY）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Fwd 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8.6x - 按周期股估值（严重低估）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周转天数降至历史低位（HBM供不应求）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财报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为什么存在定价错误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市场用[存储周期股]框架给MU估值（Fwd PE 8.6x）：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传统DRAM/NAND：3年一轮周期，涨→扩产→跌→减产→涨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HBM完全不同：不是容量周期，是技术升级周期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HBM3e→HBM4→HBM4e，每一代容量x2、带宽x2、单价x1.5-2x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这不是周期，是AI拉动的结构性增长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类比：市场给周期股8x PE，但HBM业务应接成长股25-30x PE估值。拆分估值：HBM按$100亿营收x30%净利率x25x=$750亿，存储按$250亿x10%x8x=$200亿，合计$950亿。当前市值$1000亿 → HBM几乎没有溢价。</w:t>
      </w:r>
    </w:p>
    <w:p>
      <w:pPr>
        <w:spacing w:after="60"/>
      </w:pPr>
    </w:p>
    <w:p>
      <w:pPr>
        <w:pStyle w:val="Heading3"/>
      </w:pPr>
      <w:r>
        <w:t xml:space="preserve">HBM市场量化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1颗B200 GPU = 8颗HBM3e（每颗24GB，单价约$30-50）
100万颗B200 → 800万颗HBM3e → 仅NVIDIA一家年需求~$300亿+
到2027年HBM总市场 = $600-1000亿
美光占25%份额 = $150-250亿营收
净利率30% = $45-75亿净利 → 20x PE = $900-1500亿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标的3：星座能源 CEG</w:t>
      </w:r>
    </w:p>
    <w:p>
      <w:pPr>
        <w:pStyle w:val="Heading3"/>
      </w:pPr>
      <w:r>
        <w:t xml:space="preserve">第一性原理变量 → 需求保证的链式推导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变量：单座AI数据中心用电量 = 30万-100万家庭用电量
  ↓
1座500MW数据中心年用电量=4.4TWh → 2030年美国AI数据中心新增需求=200-300TWh
  ↓
美国电网已满负荷，新建输电线路需5-10年
天然气不满足科技公司碳中和承诺
  ↓
核电成为唯一可行的大规模零碳基荷方案
  ↓
微软2024签Three Mile Island重启（20年PPA）
Meta2025签CEG核电协议
谷歌2025签Kairos Power小型堆协议
  ↓
CEG：美国最大核电运营商（14座反应堆，占全美核电15%+）
+收购Calpine补齐清洁能源版图
  ↓
净利：2024→2025(+64%)→2026预计再+30%+</w:t>
      </w:r>
    </w:p>
    <w:p>
      <w:pPr>
        <w:spacing w:after="60"/>
      </w:pPr>
    </w:p>
    <w:p>
      <w:pPr>
        <w:pStyle w:val="Heading3"/>
      </w:pPr>
      <w:r>
        <w:t xml:space="preserve">数据支撑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具体数据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净利增速2025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+64%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Reuters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与Meta核电协议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2025年10月签定，为Meta AI数据中心专供核能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Guzman分析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收购Calpine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$164亿收购天然气发电商（2026完成）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Titan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核电装机量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14座反应堆，总装机~18GW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公司官网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数据中心电力采购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2025年同比增长300%+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21.9x / Fwd PE 18.5x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可再生能源占比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90%+（碳中和目标下的AI首选能源供应商）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公司报告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为什么存在定价错误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市场按传统公用事业给CEG估值(20x PE)：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传统公用事业增长=0-3%/年（自然增长天花板）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CEG在AI协议推动下，增长已升至15-20%/年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假设增长20%/年 → PEG=1（合理），但市场还没把AI核电价值计入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微软→Meta→谷歌→其他科技巨头必跟。AI核电是刚起步的超级趋势。</w:t>
      </w:r>
    </w:p>
    <w:p>
      <w:r>
        <w:br w:type="page"/>
      </w:r>
    </w:p>
    <w:p>
      <w:pPr>
        <w:pStyle w:val="Heading2"/>
      </w:pPr>
      <w:r>
        <w:t xml:space="preserve">标的4：维斯特拉 VST</w:t>
      </w:r>
    </w:p>
    <w:p>
      <w:pPr>
        <w:pStyle w:val="Heading3"/>
      </w:pPr>
      <w:r>
        <w:t xml:space="preserve">第一性原理变量 → 需求保证的链式推导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变量：AI数据中心需要24x7不间断供电 → 电网批发价波动大
  ↓
AI数据中心需要稳定可预测的电价（3-5年PPA锁定）
  ↓
拥有零售售电牌照的电力商可以直接和AI数据中心签PPA
  ↓
VST拥有德克萨斯州最大零售售电牌照
把天然气/核电/储能打包卖给AI数据中心
  ↓
VST签的AI PPA价格 = 电网批发价 + 零售溢价（约20-30%溢价）
  ↓
VST营收增速+43%，PE 24.5x / Fwd PE 13.3x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VST不同于一般发电商（NRG、AES）：它有零售售电牌照和零售客户群，可直接与AI数据中心签购电合同赚取零售溢价。这个中间商模式让它在AI电力需求中有独特的议价能力。</w:t>
      </w:r>
    </w:p>
    <w:p>
      <w:r>
        <w:br w:type="page"/>
      </w:r>
    </w:p>
    <w:p>
      <w:pPr>
        <w:pStyle w:val="Heading2"/>
      </w:pPr>
      <w:r>
        <w:t xml:space="preserve">标的5：哈贝尔 HUBB</w:t>
      </w:r>
    </w:p>
    <w:p>
      <w:pPr>
        <w:pStyle w:val="Heading3"/>
      </w:pPr>
      <w:r>
        <w:t xml:space="preserve">第一性原理变量 → 需求保证的链式推导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变量：每座AI数据中心需要用500-2000台变压器（配电+干式）
  ↓
AI数据中心建设量：2024全球~300座 → 2027预计1000座+
  ↓
全球变压器公司产能已满，交货周期从6个月→24个月
  ↓
新建变压器工厂需3-5年，短期内产能无法扩张
  ↓
供需缺口 → 连续6个季度涨价，累计+30-50%
  ↓
HUBB在北美配电变压器市场份额第一
拥有完整干式/油浸式变压器产品线
  ↓
订单积压创历史新高但受限于产能增速仅+11%
  ↓
2027年后新产能释放 → 营收增速可能跳升到20%+</w:t>
      </w:r>
    </w:p>
    <w:p>
      <w:r>
        <w:br w:type="page"/>
      </w:r>
    </w:p>
    <w:p>
      <w:pPr>
        <w:pStyle w:val="Heading1"/>
      </w:pPr>
      <w:r>
        <w:t xml:space="preserve">三、A股完整逻辑推演</w:t>
      </w:r>
    </w:p>
    <w:p>
      <w:pPr>
        <w:spacing w:after="60"/>
      </w:pPr>
    </w:p>
    <w:p>
      <w:pPr>
        <w:pStyle w:val="Heading2"/>
      </w:pPr>
      <w:r>
        <w:t xml:space="preserve">1. 中石科技 300684（PE 45.9x - 接近30x门槛）</w:t>
      </w:r>
    </w:p>
    <w:p>
      <w:pPr>
        <w:pStyle w:val="Heading3"/>
      </w:pPr>
      <w:r>
        <w:t xml:space="preserve">链式推导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变量：GPU功耗从300W→1500W+ → 服务器内部温度从60°C→100°C+
  ↓
传统散热方案（风扇+铝散热片）无法满足
  ↓
导热硅脂/导热垫片/液冷板等高端热管理材料用量暴增
  ↓
中石科技：A股少数能做高导热TIM材料的公司
产品包括导热硅脂(导热系数&gt;10W/mK)、导热垫片、液冷板
  ↓
2025净利Y3.39亿，同比+68%
PE 45.9x - 如果2026净利再+50%可达Y5亿 → PE降至30x</w:t>
      </w:r>
    </w:p>
    <w:p>
      <w:pPr>
        <w:spacing w:after="60"/>
      </w:pPr>
    </w:p>
    <w:p>
      <w:pPr>
        <w:pStyle w:val="Heading2"/>
      </w:pPr>
      <w:r>
        <w:t xml:space="preserve">2. 源杰科技 688498（PE 518x - 拐点型）</w:t>
      </w:r>
    </w:p>
    <w:p>
      <w:pPr>
        <w:pStyle w:val="Heading3"/>
      </w:pPr>
      <w:r>
        <w:t xml:space="preserve">链式推导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变量：AI数据中心内部互联从800G→1.6T→3.2T光模块
  ↓
光模块速率每代翻倍 → 内部光芯片速率也必须翻倍
100G EML → 200G EML → 400G EML
  ↓
过去A股光芯片依赖进口（美国Lumentum、住友电工）
  ↓
贸易限制+国产替代 → 国内光模块厂必须找国产光芯片
  ↓
源杰科技是A股唯一能做高速EML光芯片的公司
200G PAM4 EML芯片正在客户验证中
  ↓
营收Y5.64亿(+138.5%)、毛利率52.9%、扭亏为盈
  ↓
PS = 180亿/5.6亿 = 32x（对130%增速的公司不算极高）
如果200G芯片2026年量产 → 营收翻倍 → PS降至15x</w:t>
      </w:r>
    </w:p>
    <w:p>
      <w:pPr>
        <w:spacing w:after="60"/>
      </w:pPr>
    </w:p>
    <w:p>
      <w:pPr>
        <w:pStyle w:val="Heading2"/>
      </w:pPr>
      <w:r>
        <w:t xml:space="preserve">3. 润泽科技 300442（PE 24.7x - 增速爆炸但市值已大）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变量：AI算力需求 → 智算中心(AIDC)需求暴增
  ↓
传统IDC不能满足GPU集群高功耗/高密度要求
AIDC需要更高电力密度(30-50kW/机柜 vs 传统5-10kW)
  ↓
润泽科技是国内最大第三方AIDC运营商之一
2025年投产机柜数倍增，AIDC占比快速提升
  ↓
营收Y56.74亿、净利Y50.5亿(+182%)、PE 24.7x
  ↓
但市值Y1257亿 - 已不算小众，竞争加剧</w:t>
      </w:r>
    </w:p>
    <w:p>
      <w:pPr>
        <w:spacing w:after="60"/>
      </w:pPr>
    </w:p>
    <w:p>
      <w:pPr>
        <w:pStyle w:val="Heading2"/>
      </w:pPr>
      <w:r>
        <w:t xml:space="preserve">4. 时代电气 688187（PE 18.2x - 估值低但AI关联极弱）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变量：AI数据中心需要大量UPS → IGBT/SiC功率器件需求增加
  ↓
时代电气做IGBT/SiC功率半导体
  ↓
但主业是轨交（高铁/地铁IGBT占营收&gt;60%）
AI电力相关的功率器件营收占比&lt;5%
  ↓
PE 18.2x/Fwd 13.6x 看似低估
实际是市场对轨交主业的合理定价（增速低）
AI电力故事很小，撑不起估值重估</w:t>
      </w:r>
    </w:p>
    <w:p>
      <w:pPr>
        <w:spacing w:after="60"/>
      </w:pPr>
    </w:p>
    <w:p>
      <w:pPr>
        <w:pStyle w:val="Heading2"/>
      </w:pPr>
      <w:r>
        <w:t xml:space="preserve">5. 中科蓝讯 688332（PE 12.0x - A股最低但AI最弱）</w:t>
      </w:r>
    </w:p>
    <w:p>
      <w:pPr>
        <w:spacing w:after="60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公司做蓝牙音频芯片（RISC-V架构），营收~Y18亿(+11%)
AI端侧推理概念很弱，AI关联几乎没有
PE 12.0x是A股科技股最低之一
但无法作为AI供应链标的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四、A股 vs 美股 - 差异的本质原因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A股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美股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科技股PE基线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50-150x（常态）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15-35x（常态）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AI受益度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多数不盈利/微利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真实营收+++利润+++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低估原因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无（市场已充分定价）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做空/争议/周期标签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可操作性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低（估值无安全边际）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高（PE+Fwd PE双低）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五、终极排名与转化路径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900"/>
        <w:gridCol w:w="1000"/>
        <w:gridCol w:w="2200"/>
        <w:gridCol w:w="23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赛道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Fwd PE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营收增速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未来半年关键验证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标的质变路径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SMCI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AI服务器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+52%→$360亿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FY26全年指引是否上调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做空恐慌退潮→机构回补→PEG从0.4→1.0→翻倍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HBM存储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+196%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HBM4量产进度+CapEx细节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HBM从$100亿→$200亿+ →成长占比&gt;50%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AI核电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18.5x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+64%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更多科技巨头签核电PPA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购电协议持续落地→增长中枢3%→20%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AI电力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+43%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数据中心PPA签约数量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零售电价弹性体现→Fwd PE从13x向20x修复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变压器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22.3x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+11%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新工厂投产时间表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产能瓶颈解除→营收增速跳到20%+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A股映射 - 需等待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美股标的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A股最接近对标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A股当前状态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需要什么条件才能入场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SMCI AI服务器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工业富联/浪潮信息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34x/市值大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 HBM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兆易创新(PE 112x)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估值太高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HBM国产化突破+盈利改善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CEG/VST AI电力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润泽科技(PE 24.7x)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PE合理但市值Y1257亿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回调到更小市值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HUBB 变压器映射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中石科技300684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45.9x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2026利润Y5亿→PE降至30x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六、一句话总结</w:t>
      </w:r>
    </w:p>
    <w:p>
      <w:pPr>
        <w:spacing w:after="60"/>
      </w:pPr>
    </w:p>
    <w:p>
      <w:pP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A股的AI冷门之所以冷门是因为它们不赚钱、没受益；美股的SMCI(PE 21x/Fwd 12.5x)是被定价错误最严重的标的，Hindenburg做空+审计恐慌+市场对AI服务器赛道的认知偏差，三项叠加创造了买入窗口。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不构成投资建议。数据来源：CDP浏览器搜索+yfinance验证。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AI产业链小众标的研究报告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6A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2026-06-10T11:57:30.157Z</dcterms:created>
  <dcterms:modified xsi:type="dcterms:W3CDTF">2026-06-10T11:57:30.158Z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