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text" w:horzAnchor="page" w:tblpX="1512" w:tblpY="624"/>
        <w:tblOverlap w:val="never"/>
        <w:tblW w:w="88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624"/>
        <w:gridCol w:w="643"/>
        <w:gridCol w:w="70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62"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11</w:t>
            </w:r>
          </w:p>
        </w:tc>
        <w:tc>
          <w:tcPr>
            <w:tcW w:w="624" w:type="dxa"/>
            <w:vMerge w:val="restart"/>
            <w:tcBorders>
              <w:right w:val="single" w:color="auto" w:sz="4" w:space="0"/>
            </w:tcBorders>
            <w:vAlign w:val="center"/>
          </w:tcPr>
          <w:p>
            <w:pPr>
              <w:pStyle w:val="6"/>
              <w:widowControl/>
              <w:spacing w:line="240" w:lineRule="auto"/>
              <w:ind w:left="0" w:leftChars="0" w:firstLine="0" w:firstLineChars="0"/>
              <w:jc w:val="center"/>
              <w:rPr>
                <w:rFonts w:hint="eastAsia" w:ascii="仿宋" w:hAnsi="仿宋" w:eastAsia="仿宋" w:cs="仿宋"/>
                <w:color w:val="0000FF"/>
                <w:sz w:val="24"/>
                <w:szCs w:val="24"/>
                <w:highlight w:val="red"/>
                <w:lang w:val="en-US" w:eastAsia="zh-CN"/>
              </w:rPr>
            </w:pPr>
            <w:r>
              <w:rPr>
                <w:rFonts w:hint="eastAsia" w:ascii="仿宋" w:hAnsi="仿宋" w:eastAsia="仿宋" w:cs="仿宋"/>
                <w:color w:val="0000FF"/>
                <w:sz w:val="24"/>
                <w:szCs w:val="24"/>
                <w:highlight w:val="none"/>
                <w:lang w:val="en-US" w:eastAsia="zh-CN"/>
              </w:rPr>
              <w:t>现场演示</w:t>
            </w:r>
          </w:p>
        </w:tc>
        <w:tc>
          <w:tcPr>
            <w:tcW w:w="643" w:type="dxa"/>
            <w:vMerge w:val="restart"/>
            <w:vAlign w:val="center"/>
          </w:tcPr>
          <w:p>
            <w:pPr>
              <w:pStyle w:val="7"/>
              <w:spacing w:before="1" w:line="240" w:lineRule="auto"/>
              <w:ind w:left="0" w:leftChars="0" w:right="11" w:rightChars="0" w:firstLine="0" w:firstLineChars="0"/>
              <w:jc w:val="center"/>
              <w:rPr>
                <w:rFonts w:hint="default"/>
                <w:color w:val="0000FF"/>
                <w:sz w:val="24"/>
                <w:szCs w:val="24"/>
                <w:highlight w:val="none"/>
                <w:lang w:val="en-US" w:eastAsia="zh-CN" w:bidi="ar-SA"/>
              </w:rPr>
            </w:pPr>
            <w:r>
              <w:rPr>
                <w:rFonts w:hint="eastAsia"/>
                <w:color w:val="0000FF"/>
                <w:sz w:val="24"/>
                <w:szCs w:val="24"/>
                <w:highlight w:val="none"/>
                <w:lang w:val="en-US" w:eastAsia="zh-CN" w:bidi="ar-SA"/>
              </w:rPr>
              <w:t>10分</w:t>
            </w:r>
          </w:p>
        </w:tc>
        <w:tc>
          <w:tcPr>
            <w:tcW w:w="7034" w:type="dxa"/>
            <w:vAlign w:val="top"/>
          </w:tcPr>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一、演示要求：</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1.投标单位需提供</w:t>
            </w:r>
            <w:r>
              <w:rPr>
                <w:rFonts w:hint="default" w:ascii="仿宋" w:hAnsi="仿宋" w:eastAsia="仿宋" w:cs="仿宋"/>
                <w:color w:val="0000FF"/>
                <w:kern w:val="0"/>
                <w:sz w:val="24"/>
                <w:szCs w:val="24"/>
                <w:highlight w:val="none"/>
                <w:lang w:val="en-US" w:eastAsia="zh-CN"/>
              </w:rPr>
              <w:t>概念验证（PoC）</w:t>
            </w:r>
            <w:r>
              <w:rPr>
                <w:rFonts w:hint="eastAsia" w:ascii="仿宋" w:hAnsi="仿宋" w:eastAsia="仿宋" w:cs="仿宋"/>
                <w:color w:val="0000FF"/>
                <w:kern w:val="0"/>
                <w:sz w:val="24"/>
                <w:szCs w:val="24"/>
                <w:highlight w:val="none"/>
                <w:lang w:val="en-US" w:eastAsia="zh-CN"/>
              </w:rPr>
              <w:t>演示，每位投标人演示时长不得超过20分钟。</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2.自备演示所需产品、设备、数据、网络等。放弃演示不得分。</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3.演示人员必须是投标单位的正式在职员工，</w:t>
            </w:r>
            <w:r>
              <w:rPr>
                <w:rFonts w:hint="eastAsia" w:ascii="仿宋" w:hAnsi="仿宋" w:eastAsia="仿宋" w:cs="仿宋"/>
                <w:b w:val="0"/>
                <w:bCs w:val="0"/>
                <w:color w:val="0000FF"/>
                <w:kern w:val="0"/>
                <w:sz w:val="24"/>
                <w:szCs w:val="24"/>
                <w:highlight w:val="none"/>
                <w:lang w:val="en-US" w:eastAsia="zh-CN"/>
              </w:rPr>
              <w:t>须提供投标截止日前由投标单位为其缴纳的最近一期社保证明扫描件，或有效的劳动合同。</w:t>
            </w:r>
            <w:r>
              <w:rPr>
                <w:rFonts w:hint="eastAsia" w:ascii="仿宋" w:hAnsi="仿宋" w:eastAsia="仿宋" w:cs="仿宋"/>
                <w:color w:val="0000FF"/>
                <w:kern w:val="0"/>
                <w:sz w:val="24"/>
                <w:szCs w:val="24"/>
                <w:highlight w:val="none"/>
                <w:lang w:val="en-US" w:eastAsia="zh-CN"/>
              </w:rPr>
              <w:t>须针对演示人员开具授权委托书并将原件的扫描件放置在标书相应位置，演示人员现场演示时须携带身份证原件。</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4.现场演示人员应在项目评审当天随时在代理机构指定地点等候（演示等候区：银川市民大厅D区7楼信息发布大厅），演示前代理机构工作人员会在演示等候区确定投标单位演示人员的在场情况，演示顺序由评标委员会评审时确定，在演示环节如遇投标人自行离开演示等候区导致无法联系或长时间无法到场的（未在演示等候区的，经电话联系后10分钟内未到场），</w:t>
            </w:r>
            <w:r>
              <w:rPr>
                <w:rFonts w:hint="eastAsia" w:ascii="仿宋" w:hAnsi="仿宋" w:eastAsia="仿宋" w:cs="仿宋"/>
                <w:b/>
                <w:bCs/>
                <w:color w:val="0000FF"/>
                <w:kern w:val="0"/>
                <w:sz w:val="24"/>
                <w:szCs w:val="24"/>
                <w:highlight w:val="none"/>
                <w:lang w:val="en-US" w:eastAsia="zh-CN"/>
              </w:rPr>
              <w:t>则视为放弃演示。</w:t>
            </w:r>
          </w:p>
          <w:p>
            <w:pPr>
              <w:widowControl/>
              <w:spacing w:before="0" w:beforeLines="0" w:after="0" w:afterLines="0" w:line="240" w:lineRule="auto"/>
              <w:ind w:firstLine="0" w:firstLineChars="0"/>
              <w:jc w:val="left"/>
              <w:rPr>
                <w:rFonts w:hint="default" w:ascii="仿宋" w:hAnsi="仿宋" w:eastAsia="仿宋" w:cs="仿宋"/>
                <w:b/>
                <w:bCs/>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5.演示环节为集中演示，所有供应商按评标委员会现场确定的顺序进行演示，所有供应商均演示完毕后，再进行评审。</w:t>
            </w:r>
          </w:p>
          <w:p>
            <w:pPr>
              <w:widowControl/>
              <w:spacing w:before="0" w:beforeLines="0" w:after="0" w:afterLines="0" w:line="240" w:lineRule="auto"/>
              <w:ind w:firstLine="0" w:firstLineChars="0"/>
              <w:jc w:val="left"/>
              <w:rPr>
                <w:rFonts w:hint="eastAsia" w:ascii="仿宋" w:hAnsi="仿宋" w:eastAsia="仿宋" w:cs="仿宋"/>
                <w:b/>
                <w:bCs/>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二、计分要求（总分10分）：</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1.投标人按【</w:t>
            </w:r>
            <w:r>
              <w:rPr>
                <w:rFonts w:hint="eastAsia" w:ascii="仿宋" w:hAnsi="仿宋" w:eastAsia="仿宋" w:cs="仿宋"/>
                <w:b/>
                <w:bCs/>
                <w:color w:val="0000FF"/>
                <w:kern w:val="0"/>
                <w:sz w:val="24"/>
                <w:szCs w:val="24"/>
                <w:highlight w:val="none"/>
                <w:lang w:val="en-US" w:eastAsia="zh-CN"/>
              </w:rPr>
              <w:t>基准测试包</w:t>
            </w:r>
            <w:r>
              <w:rPr>
                <w:rFonts w:hint="eastAsia" w:ascii="仿宋" w:hAnsi="仿宋" w:eastAsia="仿宋" w:cs="仿宋"/>
                <w:color w:val="0000FF"/>
                <w:kern w:val="0"/>
                <w:sz w:val="24"/>
                <w:szCs w:val="24"/>
                <w:highlight w:val="none"/>
                <w:lang w:val="en-US" w:eastAsia="zh-CN"/>
              </w:rPr>
              <w:t>】实施演示。</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2.</w:t>
            </w:r>
            <w:r>
              <w:rPr>
                <w:rFonts w:hint="default" w:ascii="仿宋" w:hAnsi="仿宋" w:eastAsia="仿宋" w:cs="仿宋"/>
                <w:color w:val="0000FF"/>
                <w:kern w:val="0"/>
                <w:sz w:val="24"/>
                <w:szCs w:val="24"/>
                <w:highlight w:val="none"/>
                <w:lang w:val="en-US" w:eastAsia="zh-CN"/>
              </w:rPr>
              <w:t>实施与演示充分：提供了可运行的演示环境，展示了关键业务流程</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并附有测试数据与量化结果报告（如准确率、响应时间等）</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能清晰阐述从PoC到最终系统演进的技术路径和资源规划。</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3.【</w:t>
            </w:r>
            <w:r>
              <w:rPr>
                <w:rFonts w:hint="eastAsia" w:ascii="仿宋" w:hAnsi="仿宋" w:eastAsia="仿宋" w:cs="仿宋"/>
                <w:b/>
                <w:bCs/>
                <w:color w:val="0000FF"/>
                <w:kern w:val="0"/>
                <w:sz w:val="24"/>
                <w:szCs w:val="24"/>
                <w:highlight w:val="none"/>
                <w:lang w:val="en-US" w:eastAsia="zh-CN"/>
              </w:rPr>
              <w:t>基准测试包</w:t>
            </w:r>
            <w:r>
              <w:rPr>
                <w:rFonts w:hint="eastAsia" w:ascii="仿宋" w:hAnsi="仿宋" w:eastAsia="仿宋" w:cs="仿宋"/>
                <w:color w:val="0000FF"/>
                <w:kern w:val="0"/>
                <w:sz w:val="24"/>
                <w:szCs w:val="24"/>
                <w:highlight w:val="none"/>
                <w:lang w:val="en-US" w:eastAsia="zh-CN"/>
              </w:rPr>
              <w:t>】中的内容，包含各种政策数据等，均为测试用的虚拟内容。</w:t>
            </w:r>
          </w:p>
          <w:p>
            <w:pPr>
              <w:widowControl/>
              <w:spacing w:before="0" w:beforeLines="0" w:after="0" w:afterLines="0" w:line="240" w:lineRule="auto"/>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b w:val="0"/>
                <w:bCs w:val="0"/>
                <w:color w:val="0000FF"/>
                <w:sz w:val="24"/>
                <w:szCs w:val="24"/>
                <w:highlight w:val="none"/>
                <w:lang w:val="en-US" w:eastAsia="zh-CN"/>
              </w:rPr>
              <w:t>4.</w:t>
            </w:r>
            <w:r>
              <w:rPr>
                <w:rFonts w:hint="default" w:ascii="仿宋" w:hAnsi="仿宋" w:eastAsia="仿宋" w:cs="仿宋"/>
                <w:b/>
                <w:bCs/>
                <w:color w:val="0000FF"/>
                <w:sz w:val="24"/>
                <w:szCs w:val="24"/>
                <w:highlight w:val="none"/>
                <w:lang w:val="en-US" w:eastAsia="zh-CN"/>
              </w:rPr>
              <w:t>【</w:t>
            </w:r>
            <w:r>
              <w:rPr>
                <w:rFonts w:hint="default" w:ascii="仿宋" w:hAnsi="仿宋" w:eastAsia="仿宋" w:cs="仿宋"/>
                <w:b/>
                <w:bCs/>
                <w:color w:val="0000FF"/>
                <w:kern w:val="0"/>
                <w:sz w:val="24"/>
                <w:szCs w:val="24"/>
                <w:highlight w:val="none"/>
                <w:lang w:val="en-US" w:eastAsia="zh-CN"/>
              </w:rPr>
              <w:t>演示评分</w:t>
            </w:r>
            <w:r>
              <w:rPr>
                <w:rFonts w:hint="eastAsia" w:ascii="仿宋" w:hAnsi="仿宋" w:eastAsia="仿宋" w:cs="仿宋"/>
                <w:b/>
                <w:bCs/>
                <w:color w:val="0000FF"/>
                <w:kern w:val="0"/>
                <w:sz w:val="24"/>
                <w:szCs w:val="24"/>
                <w:highlight w:val="none"/>
                <w:lang w:val="en-US" w:eastAsia="zh-CN"/>
              </w:rPr>
              <w:t>说明及标准</w:t>
            </w:r>
            <w:r>
              <w:rPr>
                <w:rFonts w:hint="default" w:ascii="仿宋" w:hAnsi="仿宋" w:eastAsia="仿宋" w:cs="仿宋"/>
                <w:b/>
                <w:bCs/>
                <w:color w:val="0000FF"/>
                <w:sz w:val="24"/>
                <w:szCs w:val="24"/>
                <w:highlight w:val="none"/>
                <w:lang w:val="en-US" w:eastAsia="zh-CN"/>
              </w:rPr>
              <w:t>】</w:t>
            </w:r>
            <w:r>
              <w:rPr>
                <w:rFonts w:hint="eastAsia" w:ascii="仿宋" w:hAnsi="仿宋" w:eastAsia="仿宋" w:cs="仿宋"/>
                <w:color w:val="0000FF"/>
                <w:sz w:val="24"/>
                <w:szCs w:val="24"/>
                <w:highlight w:val="none"/>
                <w:lang w:val="en-US" w:eastAsia="zh-CN"/>
              </w:rPr>
              <w:t>共</w:t>
            </w:r>
            <w:r>
              <w:rPr>
                <w:rFonts w:hint="eastAsia" w:ascii="仿宋" w:hAnsi="仿宋" w:eastAsia="仿宋" w:cs="仿宋"/>
                <w:color w:val="0000FF"/>
                <w:kern w:val="0"/>
                <w:sz w:val="24"/>
                <w:szCs w:val="24"/>
                <w:highlight w:val="none"/>
                <w:lang w:val="en-US" w:eastAsia="zh-CN"/>
              </w:rPr>
              <w:t>四个场景、四种演示方案，投标供应商任选一个方案进行演示，每个场景满分为5分，共10分。</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演示方案：</w:t>
            </w:r>
            <w:r>
              <w:rPr>
                <w:rFonts w:hint="eastAsia" w:ascii="仿宋" w:hAnsi="仿宋" w:eastAsia="仿宋" w:cs="仿宋"/>
                <w:color w:val="0000FF"/>
                <w:kern w:val="0"/>
                <w:sz w:val="24"/>
                <w:szCs w:val="24"/>
                <w:highlight w:val="none"/>
                <w:lang w:val="en-US" w:eastAsia="zh-CN"/>
              </w:rPr>
              <w:t>方案1：场景1+场景2，方案2：场景1+场景4，方案3：场景2+场景3，方案4：场景3+场景4。</w:t>
            </w:r>
          </w:p>
          <w:p>
            <w:pPr>
              <w:widowControl/>
              <w:spacing w:before="0" w:beforeLines="0" w:after="0" w:afterLines="0" w:line="240" w:lineRule="auto"/>
              <w:ind w:firstLine="0" w:firstLineChars="0"/>
              <w:jc w:val="left"/>
              <w:rPr>
                <w:rFonts w:hint="default" w:ascii="仿宋" w:hAnsi="仿宋" w:eastAsia="仿宋" w:cs="仿宋"/>
                <w:b w:val="0"/>
                <w:bCs w:val="0"/>
                <w:color w:val="0000FF"/>
                <w:kern w:val="0"/>
                <w:sz w:val="24"/>
                <w:szCs w:val="24"/>
                <w:highlight w:val="none"/>
                <w:lang w:val="en-US" w:eastAsia="zh-CN"/>
              </w:rPr>
            </w:pPr>
            <w:r>
              <w:rPr>
                <w:rFonts w:hint="eastAsia" w:ascii="仿宋" w:hAnsi="仿宋" w:eastAsia="仿宋" w:cs="仿宋"/>
                <w:b w:val="0"/>
                <w:bCs w:val="0"/>
                <w:color w:val="0000FF"/>
                <w:kern w:val="0"/>
                <w:sz w:val="24"/>
                <w:szCs w:val="24"/>
                <w:highlight w:val="none"/>
                <w:lang w:val="en-US" w:eastAsia="zh-CN"/>
              </w:rPr>
              <w:t>5.投标供应商在演示时，先说明所选方案，再进行演示。</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6.如因投标单位自备的演示设备故障等原因导致演示过程中出现问题，后果由投标单位自行承担。</w:t>
            </w:r>
          </w:p>
          <w:p>
            <w:pPr>
              <w:widowControl/>
              <w:spacing w:before="0" w:beforeLines="0" w:after="0" w:afterLines="0" w:line="240" w:lineRule="auto"/>
              <w:ind w:firstLine="0" w:firstLineChars="0"/>
              <w:jc w:val="left"/>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kern w:val="0"/>
                <w:sz w:val="24"/>
                <w:szCs w:val="24"/>
                <w:highlight w:val="none"/>
                <w:lang w:val="en-US" w:eastAsia="zh-CN"/>
              </w:rPr>
              <w:t>7.未提供</w:t>
            </w:r>
            <w:r>
              <w:rPr>
                <w:rFonts w:hint="default" w:ascii="仿宋" w:hAnsi="仿宋" w:eastAsia="仿宋" w:cs="仿宋"/>
                <w:color w:val="0000FF"/>
                <w:kern w:val="0"/>
                <w:sz w:val="24"/>
                <w:szCs w:val="24"/>
                <w:highlight w:val="none"/>
                <w:lang w:val="en-US" w:eastAsia="zh-CN"/>
              </w:rPr>
              <w:t>概念验证（PoC）</w:t>
            </w:r>
            <w:r>
              <w:rPr>
                <w:rFonts w:hint="eastAsia" w:ascii="仿宋" w:hAnsi="仿宋" w:eastAsia="仿宋" w:cs="仿宋"/>
                <w:color w:val="0000FF"/>
                <w:kern w:val="0"/>
                <w:sz w:val="24"/>
                <w:szCs w:val="24"/>
                <w:highlight w:val="none"/>
                <w:lang w:val="en-US" w:eastAsia="zh-CN"/>
              </w:rPr>
              <w:t>演示，不得分。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6" w:hRule="atLeast"/>
        </w:trPr>
        <w:tc>
          <w:tcPr>
            <w:tcW w:w="562"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p>
        </w:tc>
        <w:tc>
          <w:tcPr>
            <w:tcW w:w="624" w:type="dxa"/>
            <w:vMerge w:val="continue"/>
            <w:tcBorders>
              <w:right w:val="single" w:color="auto" w:sz="4" w:space="0"/>
            </w:tcBorders>
            <w:vAlign w:val="center"/>
          </w:tcPr>
          <w:p>
            <w:pPr>
              <w:pStyle w:val="6"/>
              <w:widowControl/>
              <w:spacing w:line="240" w:lineRule="auto"/>
              <w:ind w:left="0" w:leftChars="0" w:firstLine="0" w:firstLineChars="0"/>
              <w:jc w:val="center"/>
              <w:rPr>
                <w:rFonts w:hint="eastAsia" w:ascii="仿宋" w:hAnsi="仿宋" w:eastAsia="仿宋" w:cs="仿宋"/>
                <w:color w:val="0000FF"/>
                <w:sz w:val="24"/>
                <w:szCs w:val="24"/>
                <w:highlight w:val="none"/>
                <w:lang w:val="en-US" w:eastAsia="zh-CN"/>
              </w:rPr>
            </w:pPr>
          </w:p>
        </w:tc>
        <w:tc>
          <w:tcPr>
            <w:tcW w:w="643" w:type="dxa"/>
            <w:vMerge w:val="continue"/>
            <w:vAlign w:val="center"/>
          </w:tcPr>
          <w:p>
            <w:pPr>
              <w:pStyle w:val="7"/>
              <w:spacing w:before="1" w:line="240" w:lineRule="auto"/>
              <w:ind w:left="0" w:leftChars="0" w:right="11" w:rightChars="0" w:firstLine="0" w:firstLineChars="0"/>
              <w:jc w:val="center"/>
              <w:rPr>
                <w:rFonts w:hint="eastAsia"/>
                <w:color w:val="0000FF"/>
                <w:sz w:val="24"/>
                <w:szCs w:val="24"/>
                <w:highlight w:val="none"/>
                <w:lang w:val="en-US" w:eastAsia="zh-CN" w:bidi="ar-SA"/>
              </w:rPr>
            </w:pPr>
          </w:p>
        </w:tc>
        <w:tc>
          <w:tcPr>
            <w:tcW w:w="7034" w:type="dxa"/>
            <w:vAlign w:val="top"/>
          </w:tcPr>
          <w:p>
            <w:pPr>
              <w:widowControl/>
              <w:spacing w:before="0" w:beforeLines="0" w:after="0" w:afterLines="0" w:line="240" w:lineRule="auto"/>
              <w:ind w:firstLine="0" w:firstLineChars="0"/>
              <w:jc w:val="left"/>
              <w:rPr>
                <w:rFonts w:hint="eastAsia" w:ascii="仿宋" w:hAnsi="仿宋" w:eastAsia="仿宋" w:cs="仿宋"/>
                <w:b/>
                <w:bCs/>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【评分标准】</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注：每个场景评分内容不同，根据供应商演示的具体场景对应评分。</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场景一：创业扶持政策精准咨询</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A.（5</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深度嵌入：演示流畅模拟真实咨询对话，智能体作为核心组件驱动业务流程。</w:t>
            </w:r>
            <w:r>
              <w:rPr>
                <w:rFonts w:hint="eastAsia" w:ascii="仿宋" w:hAnsi="仿宋" w:eastAsia="仿宋" w:cs="仿宋"/>
                <w:color w:val="0000FF"/>
                <w:kern w:val="0"/>
                <w:sz w:val="24"/>
                <w:szCs w:val="24"/>
                <w:highlight w:val="none"/>
                <w:lang w:val="en-US" w:eastAsia="zh-CN"/>
              </w:rPr>
              <w:t>②</w:t>
            </w:r>
            <w:r>
              <w:rPr>
                <w:rFonts w:hint="default" w:ascii="仿宋" w:hAnsi="仿宋" w:eastAsia="仿宋" w:cs="仿宋"/>
                <w:color w:val="0000FF"/>
                <w:kern w:val="0"/>
                <w:sz w:val="24"/>
                <w:szCs w:val="24"/>
                <w:highlight w:val="none"/>
                <w:lang w:val="en-US" w:eastAsia="zh-CN"/>
              </w:rPr>
              <w:t>完整闭环：触发（用户提问）→决策（精准识别意图、检索A01/A03、智能判断条件缺失）→执行（给出否定/肯定分层解答、计算贷款贴息）→反馈（提供申请路径并主动推荐JOB_A01）。</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效能体现：解答结构化、无歧义，能主动补全用户未提及的关键条件（带动就业），显著缩短人工政策梳理时间。</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B.（3</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基本协同：演示了政策查询与回答的主要流程，智能体与业务有对接。</w:t>
            </w:r>
            <w:r>
              <w:rPr>
                <w:rFonts w:hint="eastAsia" w:ascii="仿宋" w:hAnsi="仿宋" w:eastAsia="仿宋" w:cs="仿宋"/>
                <w:color w:val="0000FF"/>
                <w:kern w:val="0"/>
                <w:sz w:val="24"/>
                <w:szCs w:val="24"/>
                <w:highlight w:val="none"/>
                <w:lang w:val="en-US" w:eastAsia="zh-CN"/>
              </w:rPr>
              <w:t>②</w:t>
            </w:r>
            <w:r>
              <w:rPr>
                <w:rFonts w:hint="default" w:ascii="仿宋" w:hAnsi="仿宋" w:eastAsia="仿宋" w:cs="仿宋"/>
                <w:color w:val="0000FF"/>
                <w:kern w:val="0"/>
                <w:sz w:val="24"/>
                <w:szCs w:val="24"/>
                <w:highlight w:val="none"/>
                <w:lang w:val="en-US" w:eastAsia="zh-CN"/>
              </w:rPr>
              <w:t>闭环有缺失：能检索到核心政策并给出基本解答，但可能缺少“条件智能判断”（如未指出缺失“带动就业”条件），或“主动服务”（如未推荐JOB_A01）环节不完整。</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效果一般：解答基本正确，但深度不足，仍需人工补充解释。</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C.（1</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功能孤立：仅展示了政策关键词检索、单条政策展示等独立功能。</w:t>
            </w:r>
            <w:r>
              <w:rPr>
                <w:rFonts w:hint="eastAsia" w:ascii="仿宋" w:hAnsi="仿宋" w:eastAsia="仿宋" w:cs="仿宋"/>
                <w:color w:val="0000FF"/>
                <w:kern w:val="0"/>
                <w:sz w:val="24"/>
                <w:szCs w:val="24"/>
                <w:highlight w:val="none"/>
                <w:lang w:val="en-US" w:eastAsia="zh-CN"/>
              </w:rPr>
              <w:t>②</w:t>
            </w:r>
            <w:r>
              <w:rPr>
                <w:rFonts w:hint="default" w:ascii="仿宋" w:hAnsi="仿宋" w:eastAsia="仿宋" w:cs="仿宋"/>
                <w:color w:val="0000FF"/>
                <w:kern w:val="0"/>
                <w:sz w:val="24"/>
                <w:szCs w:val="24"/>
                <w:highlight w:val="none"/>
                <w:lang w:val="en-US" w:eastAsia="zh-CN"/>
              </w:rPr>
              <w:t>无业务闭环：演示未体现从用户复杂问句到结构化解决方案的完整处理流程，各功能点割裂。</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价值不彰：演示内容与“精准咨询”业务场景关联弱，无法体现对实际工作效率的提升。</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D.（0</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：演示脱节或失败：演示内容与业务场景无关，或无法完成基本演示。</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default" w:ascii="仿宋" w:hAnsi="仿宋" w:eastAsia="仿宋" w:cs="仿宋"/>
                <w:b/>
                <w:bCs/>
                <w:color w:val="0000FF"/>
                <w:kern w:val="0"/>
                <w:sz w:val="24"/>
                <w:szCs w:val="24"/>
                <w:highlight w:val="none"/>
                <w:lang w:val="en-US" w:eastAsia="zh-CN"/>
              </w:rPr>
              <w:t>场景二：技能培训岗位个性化推荐</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A.（5</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深度嵌入：演示以“为用户解决问题”为主线，智能体深度参与需求分析、资源匹配和决策建议。②完整闭环：触发（用户画像与需求）→决策（精准匹配JOB_A02，关联POLICY_A02，分析兼职属性）→执行（输出带完整理由的推荐）→反馈（给出具体的简历优化建议）。</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效能体现：推荐理由充分，融合了硬性条件、软性需求和政策激励，体现了“一人一策”的个性化服务水平</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B.（3</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基本协同：能够根据用户标签（失业、电工证）匹配到大致合适的岗位（如JOB_A02）。②闭环有缺失：推荐理由较为单一（如只提资格匹配），未能充分关联“灵活时间”需求或“政策补贴”激励，缺乏后续的主动建议。</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效果一般：完成了基本推荐，但个性化、精准度和服务深度不足。</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C.（1</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①功能孤立：仅展示了岗位列表筛选、求职者标签查看等独立功能。</w:t>
            </w:r>
            <w:r>
              <w:rPr>
                <w:rFonts w:hint="default" w:ascii="仿宋" w:hAnsi="仿宋" w:eastAsia="仿宋" w:cs="仿宋"/>
                <w:color w:val="0000FF"/>
                <w:kern w:val="0"/>
                <w:sz w:val="24"/>
                <w:szCs w:val="24"/>
                <w:highlight w:val="none"/>
                <w:lang w:val="en-US" w:eastAsia="zh-CN"/>
              </w:rPr>
              <w:t>②</w:t>
            </w:r>
            <w:r>
              <w:rPr>
                <w:rFonts w:hint="eastAsia" w:ascii="仿宋" w:hAnsi="仿宋" w:eastAsia="仿宋" w:cs="仿宋"/>
                <w:color w:val="0000FF"/>
                <w:kern w:val="0"/>
                <w:sz w:val="24"/>
                <w:szCs w:val="24"/>
                <w:highlight w:val="none"/>
                <w:lang w:val="en-US" w:eastAsia="zh-CN"/>
              </w:rPr>
              <w:t>无业务闭环：未展示“画像-需求-匹配-解释-建议”的连贯流程，推荐过程生硬，缺乏逻辑解释。③价值不彰：演示类似一个简单的信息查询工具，未体现智能推荐在提升人岗匹配效率和成功率方面的价值。</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D.（0</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：演示脱节或失败：演示内容与业务场景无关，或无法完成基本演示。</w:t>
            </w:r>
          </w:p>
          <w:p>
            <w:pPr>
              <w:widowControl/>
              <w:spacing w:before="0" w:beforeLines="0" w:after="0" w:afterLines="0" w:line="240" w:lineRule="auto"/>
              <w:ind w:firstLine="0" w:firstLineChars="0"/>
              <w:jc w:val="left"/>
              <w:rPr>
                <w:rFonts w:hint="default" w:ascii="仿宋" w:hAnsi="仿宋" w:eastAsia="仿宋" w:cs="仿宋"/>
                <w:b/>
                <w:bCs/>
                <w:color w:val="0000FF"/>
                <w:kern w:val="0"/>
                <w:sz w:val="24"/>
                <w:szCs w:val="24"/>
                <w:highlight w:val="none"/>
                <w:lang w:val="en-US" w:eastAsia="zh-CN"/>
              </w:rPr>
            </w:pPr>
            <w:r>
              <w:rPr>
                <w:rFonts w:hint="default" w:ascii="仿宋" w:hAnsi="仿宋" w:eastAsia="仿宋" w:cs="仿宋"/>
                <w:b/>
                <w:bCs/>
                <w:color w:val="0000FF"/>
                <w:kern w:val="0"/>
                <w:sz w:val="24"/>
                <w:szCs w:val="24"/>
                <w:highlight w:val="none"/>
                <w:lang w:val="en-US" w:eastAsia="zh-CN"/>
              </w:rPr>
              <w:t>场景三：多重政策叠加咨询</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A.（5</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深度嵌入：演示成功处理复杂、高价值业务咨询，智能体展现出色的多线程处理和综合决策能力。②完整闭环：触发（复合型提问）→决策（并发检索A04/A06、判断政策兼容性、计算补贴金额）→执行（分项清晰说明并可量化）→反馈（推荐专业服务角色JOB_A05）。</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效能体现：一次性准确解答复杂问题，避免了用户多次咨询或部门间流转，极大提升了服务专业性和满意度。</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B.（3</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基本协同：能够分别查找到两项政策并罗列给用户。②闭环有缺失：未能进行“政策兼容性”的明确判断，或未进行补贴金额的初步计算，或缺少针对复杂案例的升级服务建议。</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效果一般：提供了基础政策信息，但未形成针对用户独特情境的“定制化解决方案”，仍需人工整合判断。</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C.（1</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功能孤立：仅能对单一政策关键词进行检索并展示，无法处理“多重”、“叠加”的复合查询。②无业务闭环：演示内容与处理复杂政策咨询的业务流程无关，无法解决用户的实际问题。</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价值不彰：在面临真实业务中的复杂咨询时，提供的支持非常有限。</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D.（0</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：演示脱节或失败：演示内容与业务场景无关，或无法完成基本演示。</w:t>
            </w:r>
          </w:p>
          <w:p>
            <w:pPr>
              <w:widowControl/>
              <w:spacing w:before="0" w:beforeLines="0" w:after="0" w:afterLines="0" w:line="240" w:lineRule="auto"/>
              <w:ind w:firstLine="0" w:firstLineChars="0"/>
              <w:jc w:val="left"/>
              <w:rPr>
                <w:rFonts w:hint="default" w:ascii="仿宋" w:hAnsi="仿宋" w:eastAsia="仿宋" w:cs="仿宋"/>
                <w:b/>
                <w:bCs/>
                <w:color w:val="0000FF"/>
                <w:kern w:val="0"/>
                <w:sz w:val="24"/>
                <w:szCs w:val="24"/>
                <w:highlight w:val="none"/>
                <w:lang w:val="en-US" w:eastAsia="zh-CN"/>
              </w:rPr>
            </w:pPr>
            <w:r>
              <w:rPr>
                <w:rFonts w:hint="default" w:ascii="仿宋" w:hAnsi="仿宋" w:eastAsia="仿宋" w:cs="仿宋"/>
                <w:b/>
                <w:bCs/>
                <w:color w:val="0000FF"/>
                <w:kern w:val="0"/>
                <w:sz w:val="24"/>
                <w:szCs w:val="24"/>
                <w:highlight w:val="none"/>
                <w:lang w:val="en-US" w:eastAsia="zh-CN"/>
              </w:rPr>
              <w:t>场景四：培训课程智能匹配</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A.（5</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深度嵌入：演示完整覆盖从职业迷茫到明确学习路径的典型服务场景，智能体充当了“规划师”角色。②完整闭环：触发（用户转行诉求）→决策（匹配COURSE_A01/A02、关联POLICY_A02、进行课程优先级排序）→执行（输出“课程+补贴”打包方案）→ 反馈（勾勒清晰成长路径）。</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效能体现：不仅匹配课程，更将培训与补贴、就业前景结合，提供了激励明确、路径清晰的“一站式”解决方案，有效促进用户参训意愿。</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B.（3</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①基本协同：能根据学历要求推荐出可能的课程列表，并提及有相关补贴政策。</w:t>
            </w:r>
            <w:r>
              <w:rPr>
                <w:rFonts w:hint="default" w:ascii="仿宋" w:hAnsi="仿宋" w:eastAsia="仿宋" w:cs="仿宋"/>
                <w:color w:val="0000FF"/>
                <w:kern w:val="0"/>
                <w:sz w:val="24"/>
                <w:szCs w:val="24"/>
                <w:highlight w:val="none"/>
                <w:lang w:val="en-US" w:eastAsia="zh-CN"/>
              </w:rPr>
              <w:t>②</w:t>
            </w:r>
            <w:r>
              <w:rPr>
                <w:rFonts w:hint="eastAsia" w:ascii="仿宋" w:hAnsi="仿宋" w:eastAsia="仿宋" w:cs="仿宋"/>
                <w:color w:val="0000FF"/>
                <w:kern w:val="0"/>
                <w:sz w:val="24"/>
                <w:szCs w:val="24"/>
                <w:highlight w:val="none"/>
                <w:lang w:val="en-US" w:eastAsia="zh-CN"/>
              </w:rPr>
              <w:t>闭环有缺失：课程推荐理由不充分，未能明确区分和推荐优先级；或政策关联生硬，未与用户“失业”状态紧密结合；缺少对后续路径的描绘。③效果一般：提供了基础的课程和补贴信息，但方案的针对性、说服力和完整性不足。</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C.（1</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①功能孤立：仅展示课程目录浏览或简单的按学历筛选功能，与政策模块完全割裂。</w:t>
            </w:r>
            <w:r>
              <w:rPr>
                <w:rFonts w:hint="default" w:ascii="仿宋" w:hAnsi="仿宋" w:eastAsia="仿宋" w:cs="仿宋"/>
                <w:color w:val="0000FF"/>
                <w:kern w:val="0"/>
                <w:sz w:val="24"/>
                <w:szCs w:val="24"/>
                <w:highlight w:val="none"/>
                <w:lang w:val="en-US" w:eastAsia="zh-CN"/>
              </w:rPr>
              <w:t>②</w:t>
            </w:r>
            <w:r>
              <w:rPr>
                <w:rFonts w:hint="eastAsia" w:ascii="仿宋" w:hAnsi="仿宋" w:eastAsia="仿宋" w:cs="仿宋"/>
                <w:color w:val="0000FF"/>
                <w:kern w:val="0"/>
                <w:sz w:val="24"/>
                <w:szCs w:val="24"/>
                <w:highlight w:val="none"/>
                <w:lang w:val="en-US" w:eastAsia="zh-CN"/>
              </w:rPr>
              <w:t>无业务闭环：未演示如何响应用户“转行”的复合需求，未体现“匹配”的智能性，业务流程断裂。③价值不彰：演示功能与解决失业人员再就业的核心诉求关联度低</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D.（0</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：演示脱节或失败：演示内容与业务场景无关，或无法完成基本演示。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6" w:hRule="atLeast"/>
        </w:trPr>
        <w:tc>
          <w:tcPr>
            <w:tcW w:w="562"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p>
        </w:tc>
        <w:tc>
          <w:tcPr>
            <w:tcW w:w="624" w:type="dxa"/>
            <w:vMerge w:val="continue"/>
            <w:tcBorders>
              <w:right w:val="single" w:color="auto" w:sz="4" w:space="0"/>
            </w:tcBorders>
            <w:vAlign w:val="center"/>
          </w:tcPr>
          <w:p>
            <w:pPr>
              <w:pStyle w:val="6"/>
              <w:widowControl/>
              <w:spacing w:line="240" w:lineRule="auto"/>
              <w:ind w:left="0" w:leftChars="0" w:firstLine="0" w:firstLineChars="0"/>
              <w:jc w:val="center"/>
              <w:rPr>
                <w:rFonts w:hint="eastAsia" w:ascii="仿宋" w:hAnsi="仿宋" w:eastAsia="仿宋" w:cs="仿宋"/>
                <w:color w:val="0000FF"/>
                <w:sz w:val="24"/>
                <w:szCs w:val="24"/>
                <w:highlight w:val="none"/>
                <w:lang w:val="en-US" w:eastAsia="zh-CN"/>
              </w:rPr>
            </w:pPr>
          </w:p>
        </w:tc>
        <w:tc>
          <w:tcPr>
            <w:tcW w:w="643" w:type="dxa"/>
            <w:vMerge w:val="continue"/>
            <w:vAlign w:val="center"/>
          </w:tcPr>
          <w:p>
            <w:pPr>
              <w:pStyle w:val="7"/>
              <w:spacing w:before="1" w:line="240" w:lineRule="auto"/>
              <w:ind w:left="0" w:leftChars="0" w:right="11" w:rightChars="0" w:firstLine="0" w:firstLineChars="0"/>
              <w:jc w:val="center"/>
              <w:rPr>
                <w:rFonts w:hint="eastAsia"/>
                <w:color w:val="0000FF"/>
                <w:sz w:val="24"/>
                <w:szCs w:val="24"/>
                <w:highlight w:val="none"/>
                <w:lang w:val="en-US" w:eastAsia="zh-CN" w:bidi="ar-SA"/>
              </w:rPr>
            </w:pPr>
          </w:p>
        </w:tc>
        <w:tc>
          <w:tcPr>
            <w:tcW w:w="7034" w:type="dxa"/>
            <w:vAlign w:val="top"/>
          </w:tcPr>
          <w:p>
            <w:pPr>
              <w:pStyle w:val="2"/>
              <w:spacing w:line="240" w:lineRule="auto"/>
              <w:jc w:val="center"/>
              <w:rPr>
                <w:rFonts w:hint="eastAsia" w:ascii="黑体" w:hAnsi="黑体" w:eastAsia="黑体" w:cs="黑体"/>
                <w:b/>
                <w:bCs/>
                <w:i w:val="0"/>
                <w:iCs w:val="0"/>
                <w:color w:val="0000FF"/>
                <w:kern w:val="0"/>
                <w:sz w:val="24"/>
                <w:szCs w:val="24"/>
                <w:highlight w:val="none"/>
              </w:rPr>
            </w:pPr>
            <w:r>
              <w:rPr>
                <w:rFonts w:hint="eastAsia" w:ascii="黑体" w:hAnsi="黑体" w:eastAsia="黑体" w:cs="黑体"/>
                <w:b/>
                <w:bCs/>
                <w:i w:val="0"/>
                <w:iCs w:val="0"/>
                <w:color w:val="0000FF"/>
                <w:kern w:val="0"/>
                <w:sz w:val="24"/>
                <w:szCs w:val="24"/>
                <w:highlight w:val="none"/>
              </w:rPr>
              <w:t>基准测试包</w:t>
            </w:r>
          </w:p>
          <w:p>
            <w:pPr>
              <w:pStyle w:val="2"/>
              <w:spacing w:line="240" w:lineRule="auto"/>
              <w:rPr>
                <w:rFonts w:hint="default" w:ascii="仿宋" w:hAnsi="仿宋" w:eastAsia="仿宋" w:cs="仿宋"/>
                <w:b w:val="0"/>
                <w:bCs w:val="0"/>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详见附件</w:t>
            </w:r>
          </w:p>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rPr>
              <w:t>基准测试数据集​</w:t>
            </w:r>
          </w:p>
          <w:p>
            <w:pPr>
              <w:pStyle w:val="2"/>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政策理解部分</w:t>
            </w:r>
          </w:p>
          <w:tbl>
            <w:tblPr>
              <w:tblStyle w:val="3"/>
              <w:tblW w:w="721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3"/>
              <w:gridCol w:w="2049"/>
              <w:gridCol w:w="2052"/>
              <w:gridCol w:w="20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998" w:type="dxa"/>
                  <w:tcBorders>
                    <w:top w:val="single" w:color="auto" w:sz="4" w:space="0"/>
                    <w:left w:val="single" w:color="auto" w:sz="0"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政策ID</w:t>
                  </w:r>
                </w:p>
              </w:tc>
              <w:tc>
                <w:tcPr>
                  <w:tcW w:w="2019"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政策名称</w:t>
                  </w:r>
                </w:p>
              </w:tc>
              <w:tc>
                <w:tcPr>
                  <w:tcW w:w="2022"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政策内容</w:t>
                  </w:r>
                </w:p>
              </w:tc>
              <w:tc>
                <w:tcPr>
                  <w:tcW w:w="2024"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关键信息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POLICY_A01</w:t>
                  </w:r>
                </w:p>
              </w:tc>
              <w:tc>
                <w:tcPr>
                  <w:tcW w:w="2019"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创业担保贷款贴息政策</w:t>
                  </w:r>
                </w:p>
              </w:tc>
              <w:tc>
                <w:tcPr>
                  <w:tcW w:w="202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符合条件的创业者（高校毕业生/返乡农民工/退役军人等）可申请最高50万元创业担保贷款，期限最长3年。财政部门按贷款合同签订日LPR-150BP以下部分由借款人承担，剩余部分给予全额贴息。</w:t>
                  </w:r>
                </w:p>
              </w:tc>
              <w:tc>
                <w:tcPr>
                  <w:tcW w:w="2024"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创业者身份（高校毕业生/返乡农民工/退役军人）、贷款额度（≤50万）、期限（≤3年）、贴息规则（LPR-150BP以上财政贴）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POLICY_A02</w:t>
                  </w:r>
                </w:p>
              </w:tc>
              <w:tc>
                <w:tcPr>
                  <w:tcW w:w="2019"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职业技能提升补贴政策</w:t>
                  </w:r>
                </w:p>
              </w:tc>
              <w:tc>
                <w:tcPr>
                  <w:tcW w:w="202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企业在职职工或失业人员取得初级/中级/高级职业资格证书（或职业技能等级证书），可在证书核发之日起12个月内申请补贴，标准分别为1000元/1500元/2000元。</w:t>
                  </w:r>
                </w:p>
              </w:tc>
              <w:tc>
                <w:tcPr>
                  <w:tcW w:w="2024"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对象（企业在职职工/失业人员）、证书等级（初/中/高）、补贴标准（1000/1500/2000元）、申领时限（12个月内）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POLICY_A03</w:t>
                  </w:r>
                </w:p>
              </w:tc>
              <w:tc>
                <w:tcPr>
                  <w:tcW w:w="2019"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返乡创业扶持补贴政策</w:t>
                  </w:r>
                </w:p>
              </w:tc>
              <w:tc>
                <w:tcPr>
                  <w:tcW w:w="202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返乡人员（户籍在农村，在外务工/经商后返回户籍地创业）创办小微企业，正常经营1年以上且带动3人以上就业，可申请一次性创业补贴2万元。</w:t>
                  </w:r>
                </w:p>
              </w:tc>
              <w:tc>
                <w:tcPr>
                  <w:tcW w:w="2024"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返乡人员身份、创办主体（小微企业）、经营时间（≥1年）、带动就业（≥3人）、补贴类型（一次性2万）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POLICY_A04​</w:t>
                  </w:r>
                </w:p>
              </w:tc>
              <w:tc>
                <w:tcPr>
                  <w:tcW w:w="2019"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创业场地租金补贴政策​</w:t>
                  </w:r>
                </w:p>
              </w:tc>
              <w:tc>
                <w:tcPr>
                  <w:tcW w:w="202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入驻县级以上创业孵化基地的创业者（含高校毕业生、返乡农民工），按实际租金的50%-80%给予补贴，最高不超过1万元/年，期限最长2年。</w:t>
                  </w:r>
                </w:p>
              </w:tc>
              <w:tc>
                <w:tcPr>
                  <w:tcW w:w="2024"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入驻孵化基地、创业者身份（高校/返乡等）、补贴比例（50%-80%）、上限（1万/年）、期限（≤2年）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POLICY_A05​</w:t>
                  </w:r>
                </w:p>
              </w:tc>
              <w:tc>
                <w:tcPr>
                  <w:tcW w:w="2019"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技能培训生活费补贴政策​</w:t>
                  </w:r>
                </w:p>
              </w:tc>
              <w:tc>
                <w:tcPr>
                  <w:tcW w:w="202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脱贫人口、低保家庭成员、残疾人等参加职业技能培训期间，可申请生活费补贴（按当地最低生活保障标准的50%-70%发放），每人每年限1次。</w:t>
                  </w:r>
                </w:p>
              </w:tc>
              <w:tc>
                <w:tcPr>
                  <w:tcW w:w="2024"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特殊群体（脱贫/低保/残疾）、培训期间、补贴标准（低保50%-70%）、年限限制（1次/年）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POLICY_A06​</w:t>
                  </w:r>
                </w:p>
              </w:tc>
              <w:tc>
                <w:tcPr>
                  <w:tcW w:w="2019"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退役军人创业税收优惠​</w:t>
                  </w:r>
                </w:p>
              </w:tc>
              <w:tc>
                <w:tcPr>
                  <w:tcW w:w="202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退役军人从事个体经营的，自办理个体工商户登记当月起，3年内按每户每年14400元限额依次扣减增值税、城建税、教育费附加等税费。</w:t>
                  </w:r>
                </w:p>
              </w:tc>
              <w:tc>
                <w:tcPr>
                  <w:tcW w:w="2024"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退役军人身份、个体经营、扣减额度（14400元/年）、期限（3年）、税种范围</w:t>
                  </w:r>
                </w:p>
              </w:tc>
            </w:tr>
          </w:tbl>
          <w:p>
            <w:pPr>
              <w:pStyle w:val="2"/>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岗位信息部分​</w:t>
            </w:r>
          </w:p>
          <w:tbl>
            <w:tblPr>
              <w:tblStyle w:val="3"/>
              <w:tblW w:w="721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3"/>
              <w:gridCol w:w="1732"/>
              <w:gridCol w:w="2295"/>
              <w:gridCol w:w="1232"/>
              <w:gridCol w:w="10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848" w:type="dxa"/>
                  <w:tcBorders>
                    <w:top w:val="single" w:color="auto" w:sz="4" w:space="0"/>
                    <w:left w:val="single" w:color="auto" w:sz="0"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岗位ID</w:t>
                  </w:r>
                </w:p>
              </w:tc>
              <w:tc>
                <w:tcPr>
                  <w:tcW w:w="1702"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岗位名称</w:t>
                  </w:r>
                </w:p>
              </w:tc>
              <w:tc>
                <w:tcPr>
                  <w:tcW w:w="2265"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岗位要求</w:t>
                  </w:r>
                </w:p>
              </w:tc>
              <w:tc>
                <w:tcPr>
                  <w:tcW w:w="1202"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岗位特点</w:t>
                  </w:r>
                </w:p>
              </w:tc>
              <w:tc>
                <w:tcPr>
                  <w:tcW w:w="1017"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关联政策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JOB_A01</w:t>
                  </w:r>
                </w:p>
              </w:tc>
              <w:tc>
                <w:tcPr>
                  <w:tcW w:w="17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创业孵化基地管理员</w:t>
                  </w:r>
                </w:p>
              </w:tc>
              <w:tc>
                <w:tcPr>
                  <w:tcW w:w="2265"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有创业服务经验，熟悉POLICY_A01/A03/A04，沟通能力强，全职，缴纳五险一金。</w:t>
                  </w:r>
                </w:p>
              </w:tc>
              <w:tc>
                <w:tcPr>
                  <w:tcW w:w="12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服务创业者，对接政策资源，稳定性高</w:t>
                  </w:r>
                </w:p>
              </w:tc>
              <w:tc>
                <w:tcPr>
                  <w:tcW w:w="1017"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A01/A03/A04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JOB_A02</w:t>
                  </w:r>
                </w:p>
              </w:tc>
              <w:tc>
                <w:tcPr>
                  <w:tcW w:w="17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职业技能培训讲师</w:t>
                  </w:r>
                </w:p>
              </w:tc>
              <w:tc>
                <w:tcPr>
                  <w:tcW w:w="2265"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持有高级职业资格证书（如电工/家政），3年以上授课经验，能结合POLICY_A02讲解考证路径，兼职/全职均可。</w:t>
                  </w:r>
                </w:p>
              </w:tc>
              <w:tc>
                <w:tcPr>
                  <w:tcW w:w="12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传授实操技能，助力学员申领补贴，时间灵活</w:t>
                  </w:r>
                </w:p>
              </w:tc>
              <w:tc>
                <w:tcPr>
                  <w:tcW w:w="1017"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JOB_A03​</w:t>
                  </w:r>
                </w:p>
              </w:tc>
              <w:tc>
                <w:tcPr>
                  <w:tcW w:w="17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电商创业辅导专员​</w:t>
                  </w:r>
                </w:p>
              </w:tc>
              <w:tc>
                <w:tcPr>
                  <w:tcW w:w="2265"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熟悉直播带货、网店运营，有POLICY_A04（场地补贴）落地经验，能指导创业者入驻孵化基地，全职。</w:t>
                  </w:r>
                </w:p>
              </w:tc>
              <w:tc>
                <w:tcPr>
                  <w:tcW w:w="12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聚焦电商创业，对接场地与流量资源，年轻化团队</w:t>
                  </w:r>
                </w:p>
              </w:tc>
              <w:tc>
                <w:tcPr>
                  <w:tcW w:w="1017"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JOB_A04​</w:t>
                  </w:r>
                </w:p>
              </w:tc>
              <w:tc>
                <w:tcPr>
                  <w:tcW w:w="17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技能培训课程顾问​</w:t>
                  </w:r>
                </w:p>
              </w:tc>
              <w:tc>
                <w:tcPr>
                  <w:tcW w:w="2265"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了解POLICY_A02/A05，能为特殊群体（脱贫/残疾）推荐适配课程，大专以上学历，沟通亲和力强。</w:t>
                  </w:r>
                </w:p>
              </w:tc>
              <w:tc>
                <w:tcPr>
                  <w:tcW w:w="12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链接培训需求与政策补贴，促成报名转化</w:t>
                  </w:r>
                </w:p>
              </w:tc>
              <w:tc>
                <w:tcPr>
                  <w:tcW w:w="1017"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A02/A05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JOB_A05​</w:t>
                  </w:r>
                </w:p>
              </w:tc>
              <w:tc>
                <w:tcPr>
                  <w:tcW w:w="17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退役军人创业项目评估师​</w:t>
                  </w:r>
                </w:p>
              </w:tc>
              <w:tc>
                <w:tcPr>
                  <w:tcW w:w="2265"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熟悉POLICY_A06税收优惠，能评估创业项目可行性，5年以上企业管理经验，退役军人优先。</w:t>
                  </w:r>
                </w:p>
              </w:tc>
              <w:tc>
                <w:tcPr>
                  <w:tcW w:w="1202"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专注退役军人创业，提供税务+项目双指导</w:t>
                  </w:r>
                </w:p>
              </w:tc>
              <w:tc>
                <w:tcPr>
                  <w:tcW w:w="1017"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A06</w:t>
                  </w:r>
                </w:p>
              </w:tc>
            </w:tr>
          </w:tbl>
          <w:p>
            <w:pPr>
              <w:pStyle w:val="2"/>
              <w:spacing w:line="240" w:lineRule="auto"/>
              <w:rPr>
                <w:rFonts w:hint="eastAsia" w:ascii="仿宋" w:hAnsi="仿宋" w:eastAsia="仿宋" w:cs="仿宋"/>
                <w:color w:val="0000FF"/>
                <w:highlight w:val="none"/>
                <w:u w:val="none"/>
              </w:rPr>
            </w:pPr>
            <w:r>
              <w:rPr>
                <w:rFonts w:hint="eastAsia" w:ascii="仿宋" w:hAnsi="仿宋" w:eastAsia="仿宋" w:cs="仿宋"/>
                <w:color w:val="0000FF"/>
                <w:highlight w:val="none"/>
                <w:u w:val="none"/>
              </w:rPr>
              <w:t>培训课程信息部分</w:t>
            </w:r>
          </w:p>
          <w:tbl>
            <w:tblPr>
              <w:tblStyle w:val="4"/>
              <w:tblW w:w="721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
              <w:gridCol w:w="1719"/>
              <w:gridCol w:w="2317"/>
              <w:gridCol w:w="22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895"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lang w:val="en-US" w:eastAsia="zh-CN"/>
                    </w:rPr>
                    <w:t>课程</w:t>
                  </w:r>
                  <w:r>
                    <w:rPr>
                      <w:rFonts w:hint="eastAsia" w:ascii="仿宋" w:hAnsi="仿宋" w:eastAsia="仿宋" w:cs="仿宋"/>
                      <w:color w:val="0000FF"/>
                      <w:kern w:val="0"/>
                      <w:sz w:val="24"/>
                      <w:highlight w:val="none"/>
                    </w:rPr>
                    <w:t>编号</w:t>
                  </w:r>
                </w:p>
              </w:tc>
              <w:tc>
                <w:tcPr>
                  <w:tcW w:w="1719"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课程名称</w:t>
                  </w:r>
                </w:p>
              </w:tc>
              <w:tc>
                <w:tcPr>
                  <w:tcW w:w="2317"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学历要求</w:t>
                  </w:r>
                </w:p>
              </w:tc>
              <w:tc>
                <w:tcPr>
                  <w:tcW w:w="2285"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技能门槛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COURSE_A0</w:t>
                  </w:r>
                  <w:r>
                    <w:rPr>
                      <w:rFonts w:hint="eastAsia" w:ascii="仿宋" w:hAnsi="仿宋" w:eastAsia="仿宋" w:cs="仿宋"/>
                      <w:color w:val="0000FF"/>
                      <w:kern w:val="0"/>
                      <w:sz w:val="24"/>
                      <w:highlight w:val="none"/>
                      <w:lang w:val="en-US" w:eastAsia="zh-CN"/>
                    </w:rPr>
                    <w:t>1</w:t>
                  </w:r>
                </w:p>
              </w:tc>
              <w:tc>
                <w:tcPr>
                  <w:tcW w:w="1719"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电商运营入门实战班</w:t>
                  </w:r>
                </w:p>
              </w:tc>
              <w:tc>
                <w:tcPr>
                  <w:tcW w:w="2317"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初中及以上</w:t>
                  </w:r>
                </w:p>
              </w:tc>
              <w:tc>
                <w:tcPr>
                  <w:tcW w:w="2285"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零基础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COURSE_A0</w:t>
                  </w:r>
                  <w:r>
                    <w:rPr>
                      <w:rFonts w:hint="eastAsia" w:ascii="仿宋" w:hAnsi="仿宋" w:eastAsia="仿宋" w:cs="仿宋"/>
                      <w:color w:val="0000FF"/>
                      <w:kern w:val="0"/>
                      <w:sz w:val="24"/>
                      <w:highlight w:val="none"/>
                      <w:lang w:val="en-US" w:eastAsia="zh-CN"/>
                    </w:rPr>
                    <w:t>2</w:t>
                  </w:r>
                </w:p>
              </w:tc>
              <w:tc>
                <w:tcPr>
                  <w:tcW w:w="1719"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跨境电商基础课程</w:t>
                  </w:r>
                </w:p>
              </w:tc>
              <w:tc>
                <w:tcPr>
                  <w:tcW w:w="2317"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初中及以上</w:t>
                  </w:r>
                </w:p>
              </w:tc>
              <w:tc>
                <w:tcPr>
                  <w:tcW w:w="2285"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零基础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COURSE_A0</w:t>
                  </w:r>
                  <w:r>
                    <w:rPr>
                      <w:rFonts w:hint="eastAsia" w:ascii="仿宋" w:hAnsi="仿宋" w:eastAsia="仿宋" w:cs="仿宋"/>
                      <w:color w:val="0000FF"/>
                      <w:kern w:val="0"/>
                      <w:sz w:val="24"/>
                      <w:highlight w:val="none"/>
                      <w:lang w:val="en-US" w:eastAsia="zh-CN"/>
                    </w:rPr>
                    <w:t>3</w:t>
                  </w:r>
                </w:p>
              </w:tc>
              <w:tc>
                <w:tcPr>
                  <w:tcW w:w="1719"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新媒体运营全能班</w:t>
                  </w:r>
                </w:p>
              </w:tc>
              <w:tc>
                <w:tcPr>
                  <w:tcW w:w="2317"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大专及以上</w:t>
                  </w:r>
                </w:p>
              </w:tc>
              <w:tc>
                <w:tcPr>
                  <w:tcW w:w="2285" w:type="dxa"/>
                  <w:vAlign w:val="top"/>
                </w:tcPr>
                <w:p>
                  <w:pPr>
                    <w:pStyle w:val="2"/>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基础办公软件</w:t>
                  </w:r>
                </w:p>
              </w:tc>
            </w:tr>
          </w:tbl>
          <w:p>
            <w:pPr>
              <w:pStyle w:val="2"/>
              <w:spacing w:line="240" w:lineRule="auto"/>
              <w:rPr>
                <w:rFonts w:hint="eastAsia" w:ascii="仿宋" w:hAnsi="仿宋" w:eastAsia="仿宋" w:cs="仿宋"/>
                <w:color w:val="0000FF"/>
                <w:highlight w:val="none"/>
                <w:u w:val="none"/>
              </w:rPr>
            </w:pPr>
          </w:p>
          <w:p>
            <w:pPr>
              <w:pStyle w:val="2"/>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求职者信息部分​</w:t>
            </w:r>
          </w:p>
          <w:tbl>
            <w:tblPr>
              <w:tblStyle w:val="3"/>
              <w:tblW w:w="721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24"/>
              <w:gridCol w:w="2508"/>
              <w:gridCol w:w="1961"/>
              <w:gridCol w:w="1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079" w:type="dxa"/>
                  <w:tcBorders>
                    <w:top w:val="single" w:color="auto" w:sz="4" w:space="0"/>
                    <w:left w:val="single" w:color="auto" w:sz="0"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用户ID</w:t>
                  </w:r>
                </w:p>
              </w:tc>
              <w:tc>
                <w:tcPr>
                  <w:tcW w:w="2478"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个人信息</w:t>
                  </w:r>
                </w:p>
              </w:tc>
              <w:tc>
                <w:tcPr>
                  <w:tcW w:w="1931"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核心需求</w:t>
                  </w:r>
                </w:p>
              </w:tc>
              <w:tc>
                <w:tcPr>
                  <w:tcW w:w="1576" w:type="dxa"/>
                  <w:tcBorders>
                    <w:top w:val="single" w:color="auto" w:sz="4" w:space="0"/>
                    <w:bottom w:val="single" w:color="auto" w:sz="4" w:space="0"/>
                    <w:right w:val="single" w:color="auto" w:sz="4" w:space="0"/>
                  </w:tcBorders>
                  <w:shd w:val="clear" w:color="auto" w:fill="auto"/>
                  <w:vAlign w:val="center"/>
                </w:tcPr>
                <w:p>
                  <w:pPr>
                    <w:pStyle w:val="2"/>
                    <w:spacing w:line="240" w:lineRule="auto"/>
                    <w:rPr>
                      <w:rFonts w:hint="default" w:ascii="仿宋" w:hAnsi="仿宋" w:eastAsia="仿宋" w:cs="仿宋"/>
                      <w:b w:val="0"/>
                      <w:bCs w:val="0"/>
                      <w:color w:val="0000FF"/>
                      <w:kern w:val="0"/>
                      <w:sz w:val="24"/>
                      <w:szCs w:val="24"/>
                      <w:highlight w:val="none"/>
                      <w:lang w:val="en-US"/>
                    </w:rPr>
                  </w:pPr>
                  <w:r>
                    <w:rPr>
                      <w:rFonts w:hint="eastAsia" w:ascii="仿宋" w:hAnsi="仿宋" w:eastAsia="仿宋" w:cs="仿宋"/>
                      <w:b w:val="0"/>
                      <w:bCs w:val="0"/>
                      <w:color w:val="0000FF"/>
                      <w:kern w:val="0"/>
                      <w:sz w:val="24"/>
                      <w:szCs w:val="24"/>
                      <w:highlight w:val="none"/>
                      <w:lang w:val="en-US" w:eastAsia="zh-CN" w:bidi="ar-SA"/>
                    </w:rPr>
                    <w:t>关联政策/岗位/课程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USER_A01</w:t>
                  </w:r>
                </w:p>
              </w:tc>
              <w:tc>
                <w:tcPr>
                  <w:tcW w:w="2478"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28岁男性，返乡农民工，计划在家乡开小型加工厂（小微企业），缺乏启动资金和政策了解渠道。</w:t>
                  </w:r>
                </w:p>
              </w:tc>
              <w:tc>
                <w:tcPr>
                  <w:tcW w:w="1931"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低息贷款（A01）、一次性创业补贴（A03）、政策申请指导</w:t>
                  </w:r>
                </w:p>
              </w:tc>
              <w:tc>
                <w:tcPr>
                  <w:tcW w:w="1576"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A01/A03/JOB_A01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USER_A02</w:t>
                  </w:r>
                </w:p>
              </w:tc>
              <w:tc>
                <w:tcPr>
                  <w:tcW w:w="2478"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32岁女性，失业状态，持有中级电工职业资格证书，希望快速找到能申领技能补贴的工作。</w:t>
                  </w:r>
                </w:p>
              </w:tc>
              <w:tc>
                <w:tcPr>
                  <w:tcW w:w="1931"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技能补贴申领（A02）、稳定收入、灵活工作时间</w:t>
                  </w:r>
                </w:p>
              </w:tc>
              <w:tc>
                <w:tcPr>
                  <w:tcW w:w="1576"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A02/JOB_A02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USER_A03​</w:t>
                  </w:r>
                </w:p>
              </w:tc>
              <w:tc>
                <w:tcPr>
                  <w:tcW w:w="2478"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25岁女性，高校毕业生，入驻市级创业孵化基地做文创工作室，年租金1.2万元，需减轻成本。</w:t>
                  </w:r>
                </w:p>
              </w:tc>
              <w:tc>
                <w:tcPr>
                  <w:tcW w:w="1931"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场地租金补贴（A04）、创业资源对接、低成本启动</w:t>
                  </w:r>
                </w:p>
              </w:tc>
              <w:tc>
                <w:tcPr>
                  <w:tcW w:w="1576"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A04/JOB_A03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USER_A04​</w:t>
                  </w:r>
                </w:p>
              </w:tc>
              <w:tc>
                <w:tcPr>
                  <w:tcW w:w="2478"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45岁男性，脱贫人口，初中文化，想参加养老护理员培训（初级证书），担心生活费不足。</w:t>
                  </w:r>
                </w:p>
              </w:tc>
              <w:tc>
                <w:tcPr>
                  <w:tcW w:w="1931"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生活费补贴（A05）、免费/低价培训机会、就业推荐</w:t>
                  </w:r>
                </w:p>
              </w:tc>
              <w:tc>
                <w:tcPr>
                  <w:tcW w:w="1576"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A05/JOB_A04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USER_A05​</w:t>
                  </w:r>
                </w:p>
              </w:tc>
              <w:tc>
                <w:tcPr>
                  <w:tcW w:w="2478" w:type="dxa"/>
                  <w:tcBorders>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30岁男性，退役军人，计划开汽车维修店（个体经营），关注税收优惠和项目可行性。</w:t>
                  </w:r>
                </w:p>
              </w:tc>
              <w:tc>
                <w:tcPr>
                  <w:tcW w:w="1931" w:type="dxa"/>
                  <w:tcBorders>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税收优惠（A06）、项目评估指导、创业风险规避</w:t>
                  </w:r>
                </w:p>
              </w:tc>
              <w:tc>
                <w:tcPr>
                  <w:tcW w:w="1576" w:type="dxa"/>
                  <w:tcBorders>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A06/JOB_A05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2"/>
                    <w:spacing w:line="240" w:lineRule="auto"/>
                    <w:rPr>
                      <w:rFonts w:hint="default" w:ascii="仿宋" w:hAnsi="仿宋" w:eastAsia="仿宋" w:cs="仿宋"/>
                      <w:color w:val="0000FF"/>
                      <w:kern w:val="0"/>
                      <w:sz w:val="24"/>
                      <w:szCs w:val="24"/>
                      <w:highlight w:val="none"/>
                      <w:lang w:val="en-US" w:eastAsia="zh-CN" w:bidi="ar-SA"/>
                    </w:rPr>
                  </w:pPr>
                  <w:r>
                    <w:rPr>
                      <w:rFonts w:hint="eastAsia" w:ascii="仿宋" w:hAnsi="仿宋" w:eastAsia="仿宋" w:cs="仿宋"/>
                      <w:color w:val="0000FF"/>
                      <w:kern w:val="0"/>
                      <w:sz w:val="24"/>
                      <w:szCs w:val="24"/>
                      <w:highlight w:val="none"/>
                      <w:lang w:val="en-US" w:eastAsia="zh-CN" w:bidi="ar-SA"/>
                    </w:rPr>
                    <w:t>USER_A06</w:t>
                  </w:r>
                </w:p>
              </w:tc>
              <w:tc>
                <w:tcPr>
                  <w:tcW w:w="2478"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lang w:val="en-US" w:eastAsia="zh-CN" w:bidi="ar-SA"/>
                    </w:rPr>
                  </w:pPr>
                  <w:r>
                    <w:rPr>
                      <w:rFonts w:hint="eastAsia" w:ascii="仿宋" w:hAnsi="仿宋" w:eastAsia="仿宋" w:cs="仿宋"/>
                      <w:color w:val="0000FF"/>
                      <w:kern w:val="0"/>
                      <w:highlight w:val="none"/>
                    </w:rPr>
                    <w:t>38岁，之前在工厂做机械操作工，现在失业了，只有初中毕业证，想转行做电商运营，关注课程培训和培训补贴。</w:t>
                  </w:r>
                </w:p>
              </w:tc>
              <w:tc>
                <w:tcPr>
                  <w:tcW w:w="1931"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lang w:val="en-US" w:eastAsia="zh-CN" w:bidi="ar-SA"/>
                    </w:rPr>
                  </w:pPr>
                  <w:r>
                    <w:rPr>
                      <w:rFonts w:hint="eastAsia" w:ascii="仿宋" w:hAnsi="仿宋" w:eastAsia="仿宋" w:cs="仿宋"/>
                      <w:color w:val="0000FF"/>
                      <w:kern w:val="0"/>
                      <w:highlight w:val="none"/>
                    </w:rPr>
                    <w:t>课程培训匹配、培训补贴</w:t>
                  </w:r>
                </w:p>
              </w:tc>
              <w:tc>
                <w:tcPr>
                  <w:tcW w:w="1576" w:type="dxa"/>
                  <w:tcBorders>
                    <w:bottom w:val="single" w:color="auto" w:sz="4" w:space="0"/>
                    <w:right w:val="single" w:color="auto" w:sz="4" w:space="0"/>
                  </w:tcBorders>
                  <w:shd w:val="clear" w:color="auto" w:fill="auto"/>
                  <w:vAlign w:val="center"/>
                </w:tcPr>
                <w:p>
                  <w:pPr>
                    <w:pStyle w:val="2"/>
                    <w:spacing w:line="240" w:lineRule="auto"/>
                    <w:rPr>
                      <w:rFonts w:hint="eastAsia" w:ascii="仿宋" w:hAnsi="仿宋" w:eastAsia="仿宋" w:cs="仿宋"/>
                      <w:color w:val="0000FF"/>
                      <w:kern w:val="0"/>
                      <w:sz w:val="24"/>
                      <w:szCs w:val="24"/>
                      <w:highlight w:val="none"/>
                      <w:lang w:val="en-US" w:eastAsia="zh-CN" w:bidi="ar-SA"/>
                    </w:rPr>
                  </w:pPr>
                  <w:r>
                    <w:rPr>
                      <w:rFonts w:hint="eastAsia" w:ascii="仿宋" w:hAnsi="仿宋" w:eastAsia="仿宋" w:cs="仿宋"/>
                      <w:color w:val="0000FF"/>
                      <w:kern w:val="0"/>
                      <w:highlight w:val="none"/>
                    </w:rPr>
                    <w:t>POLICY_A02/COURSE_A01/COURSE_A02</w:t>
                  </w:r>
                </w:p>
              </w:tc>
            </w:tr>
          </w:tbl>
          <w:p>
            <w:pPr>
              <w:keepNext w:val="0"/>
              <w:keepLines w:val="0"/>
              <w:pageBreakBefore w:val="0"/>
              <w:kinsoku/>
              <w:wordWrap w:val="0"/>
              <w:overflowPunct/>
              <w:topLinePunct/>
              <w:autoSpaceDE/>
              <w:autoSpaceDN/>
              <w:bidi w:val="0"/>
              <w:adjustRightInd/>
              <w:snapToGrid/>
              <w:spacing w:line="240" w:lineRule="auto"/>
              <w:jc w:val="left"/>
              <w:textAlignment w:val="auto"/>
              <w:rPr>
                <w:rFonts w:hint="default" w:ascii="仿宋" w:hAnsi="仿宋" w:eastAsia="仿宋" w:cs="仿宋"/>
                <w:color w:val="0000FF"/>
                <w:kern w:val="0"/>
                <w:sz w:val="24"/>
                <w:szCs w:val="24"/>
                <w:highlight w:val="none"/>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p>
        </w:tc>
        <w:tc>
          <w:tcPr>
            <w:tcW w:w="624" w:type="dxa"/>
            <w:tcBorders>
              <w:right w:val="single" w:color="auto" w:sz="4" w:space="0"/>
            </w:tcBorders>
            <w:vAlign w:val="center"/>
          </w:tcPr>
          <w:p>
            <w:pPr>
              <w:pStyle w:val="6"/>
              <w:widowControl/>
              <w:spacing w:line="240" w:lineRule="auto"/>
              <w:ind w:left="0" w:leftChars="0" w:firstLine="0" w:firstLineChars="0"/>
              <w:jc w:val="center"/>
              <w:rPr>
                <w:rFonts w:hint="eastAsia" w:ascii="仿宋" w:hAnsi="仿宋" w:eastAsia="仿宋" w:cs="仿宋"/>
                <w:color w:val="0000FF"/>
                <w:sz w:val="24"/>
                <w:szCs w:val="24"/>
                <w:highlight w:val="none"/>
                <w:lang w:val="en-US" w:eastAsia="zh-CN"/>
              </w:rPr>
            </w:pPr>
          </w:p>
        </w:tc>
        <w:tc>
          <w:tcPr>
            <w:tcW w:w="643" w:type="dxa"/>
            <w:vAlign w:val="center"/>
          </w:tcPr>
          <w:p>
            <w:pPr>
              <w:pStyle w:val="7"/>
              <w:spacing w:before="1" w:line="240" w:lineRule="auto"/>
              <w:ind w:left="0" w:leftChars="0" w:right="11" w:rightChars="0" w:firstLine="0" w:firstLineChars="0"/>
              <w:jc w:val="center"/>
              <w:rPr>
                <w:rFonts w:hint="eastAsia"/>
                <w:color w:val="0000FF"/>
                <w:sz w:val="24"/>
                <w:szCs w:val="24"/>
                <w:highlight w:val="none"/>
                <w:lang w:val="en-US" w:eastAsia="zh-CN" w:bidi="ar-SA"/>
              </w:rPr>
            </w:pPr>
          </w:p>
        </w:tc>
        <w:tc>
          <w:tcPr>
            <w:tcW w:w="7034" w:type="dxa"/>
            <w:vAlign w:val="top"/>
          </w:tcPr>
          <w:p>
            <w:pPr>
              <w:pStyle w:val="2"/>
              <w:spacing w:line="240" w:lineRule="auto"/>
              <w:rPr>
                <w:rFonts w:hint="eastAsia" w:ascii="仿宋" w:hAnsi="仿宋" w:eastAsia="仿宋" w:cs="仿宋"/>
                <w:b w:val="0"/>
                <w:color w:val="0000FF"/>
                <w:kern w:val="0"/>
                <w:sz w:val="24"/>
                <w:szCs w:val="24"/>
                <w:highlight w:val="none"/>
              </w:rPr>
            </w:pPr>
            <w:r>
              <w:rPr>
                <w:rFonts w:hint="eastAsia" w:ascii="仿宋" w:hAnsi="仿宋" w:eastAsia="仿宋" w:cs="仿宋"/>
                <w:b w:val="0"/>
                <w:color w:val="0000FF"/>
                <w:kern w:val="0"/>
                <w:sz w:val="24"/>
                <w:szCs w:val="24"/>
                <w:highlight w:val="none"/>
              </w:rPr>
              <w:t>标准业务场景​</w:t>
            </w:r>
          </w:p>
          <w:p>
            <w:pPr>
              <w:pStyle w:val="2"/>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bCs/>
                <w:color w:val="0000FF"/>
                <w:sz w:val="24"/>
                <w:szCs w:val="24"/>
                <w:highlight w:val="none"/>
                <w:u w:val="single"/>
              </w:rPr>
              <w:t>场景一：创业扶持政策精准咨询</w:t>
            </w:r>
            <w:r>
              <w:rPr>
                <w:rFonts w:hint="eastAsia" w:ascii="仿宋" w:hAnsi="仿宋" w:eastAsia="仿宋" w:cs="仿宋"/>
                <w:b w:val="0"/>
                <w:color w:val="0000FF"/>
                <w:sz w:val="24"/>
                <w:szCs w:val="24"/>
                <w:highlight w:val="none"/>
                <w:u w:val="none"/>
              </w:rPr>
              <w:t>​</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场景概述：模拟返乡创业者咨询创业补贴与贷款政策，智能体需精准识别资格、关联政策、结构化解答。</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核心任务流程：</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用户输入：“我是去年从广东回来的农民工，想在家开个小加工厂（小微企业），听说有返乡创业补贴，能领2万吗？另外创业贷款怎么申请？”</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智能体应完成：</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意图与实体识别：核心意图“创业补贴与贷款咨询”，提取实体“返乡农民工”“创办小微企业”“带动就业（未提及）”。</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精准检索与推理：</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检索POLICY_A03：判断“创办小微企业+正常经营1年+带动3人以上就业”可申领2万一次性补贴，用户未提“带动就业”，需指出缺失条件；</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检索POLICY_A01：确认其“返乡农民工”身份符合贷款申请条件，说明额度（≤50万）、期限（≤3年）及贴息规则。</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结构化输出：</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否定部分：“根据《返乡创业扶持补贴政策》（POLICY_A03），您需满足‘带动3人以上就业’方可申领2万补贴，当前信息未提及，建议补充就业证明后申请。”</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肯定部分：“您可申请《创业担保贷款贴息政策》（POLICY_A01）：作为返乡农民工，最高贷50万、期限3年，LPR-150BP以上部分财政贴息。申请路径：[XX人社局官网-创业服务专栏]。”</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主动建议：“推荐联系JOB_A01（创业孵化基地管理员），获取政策申请全程指导。”</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成功量化标准（PoC评估点）：</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政策条款召回准确率：30轮测试中援引政策ID与标准答案一致率≥95%；</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条件判断准确率：资格判断（如“带动就业”缺失）准确率100%；</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用户满意度（模拟）：评审专家评分平均≥4.2分（侧重准确性、主动性）。</w:t>
            </w:r>
          </w:p>
          <w:p>
            <w:pPr>
              <w:pStyle w:val="2"/>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bCs/>
                <w:color w:val="0000FF"/>
                <w:sz w:val="24"/>
                <w:szCs w:val="24"/>
                <w:highlight w:val="none"/>
                <w:u w:val="single"/>
              </w:rPr>
              <w:t>场景二：技能培训岗位个性化推荐</w:t>
            </w:r>
            <w:r>
              <w:rPr>
                <w:rFonts w:hint="eastAsia" w:ascii="仿宋" w:hAnsi="仿宋" w:eastAsia="仿宋" w:cs="仿宋"/>
                <w:b w:val="0"/>
                <w:color w:val="0000FF"/>
                <w:sz w:val="24"/>
                <w:szCs w:val="24"/>
                <w:highlight w:val="none"/>
                <w:u w:val="none"/>
              </w:rPr>
              <w:t>​</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场景概述：模拟就业服务专员为失业持证人推荐岗位，智能体需结合技能补贴政策、岗位特点、求职者需求综合推荐。</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核心任务流程：</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用户输入：“请为一位32岁、失业、持有中级电工证的女性推荐工作，她关注补贴申领和灵活时间。”</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智能体应完成：</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画像匹配与需求理解：匹配USER_A02画像，核心需求“技能补贴申领（POLICY_A02）、灵活时间、稳定收入”。</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多维度匹配：</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硬性条件：JOB_A02（职业技能培训讲师）接受兼职，且“中级电工证”符合岗位要求；</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软性条件：“灵活时间”匹配JOB_A02的兼职属性，“技能补贴申领”可通过授课间接帮助学员（同时自身可关注POLICY_A02的“企业在职职工”路径）。</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推荐与解释：</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输出推荐岗位：“推荐JOB_A02（职业技能培训讲师）。推荐理由：①持有中级电工证符合岗位要求，可按POLICY_A02申请1500元技能补贴（若以企业在职职工身份参保）；②兼职模式满足灵活时间需求，课时费+补贴双重收入；③岗位特点‘传授实操技能’，与您的经验高度匹配。主动建议：完善‘电工实操案例库’简历模块，提升竞争力。”</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成功量化标准（PoC评估点）：</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推荐相关性：岗位与求职者“补贴申领+灵活时间”硬性需求匹配度100%；</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解释充分性：每条理由含政策关联（POLICY_A02）、岗位特点、经验匹配，评审专家认可合理性；</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主动服务能力：关联政策（POLICY_A02）、提出简历优化建议。</w:t>
            </w:r>
          </w:p>
          <w:p>
            <w:pPr>
              <w:pStyle w:val="2"/>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bCs/>
                <w:color w:val="0000FF"/>
                <w:sz w:val="24"/>
                <w:szCs w:val="24"/>
                <w:highlight w:val="none"/>
                <w:u w:val="single"/>
              </w:rPr>
              <w:t>场景三：多重政策叠加咨询</w:t>
            </w:r>
            <w:r>
              <w:rPr>
                <w:rFonts w:hint="eastAsia" w:ascii="仿宋" w:hAnsi="仿宋" w:eastAsia="仿宋" w:cs="仿宋"/>
                <w:b w:val="0"/>
                <w:color w:val="0000FF"/>
                <w:sz w:val="24"/>
                <w:szCs w:val="24"/>
                <w:highlight w:val="none"/>
                <w:u w:val="none"/>
              </w:rPr>
              <w:t>​</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用户输入：“我是退役军人（USER_A05），开汽车维修店（个体），同时入驻创业孵化基地（年租金8000元），能同时享受税收优惠（A06）和场地补贴（A04）吗？”</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智能体应完成：</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识别实体：“退役军人”“个体经营”“入驻孵化基地”“租金8000元”；</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检索政策：A06（退役军人个体经营3年14400元/年税费扣减）+A04（入驻孵化基地租金50%-80%补贴，上限1万/年）；</w:t>
            </w:r>
          </w:p>
          <w:p>
            <w:pPr>
              <w:pStyle w:val="2"/>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结构化输出：“您可同时享受两项政策：①《退役军人创业税收优惠》（A06）：3年内按14400元/年扣减税费；②《创业场地租金补贴政策》（A04）：租金8000元的50%-80%（4000-6400元）可申请补贴，需提供孵化基地入驻协议。推荐联系JOB_A05（退役军人创业项目评估师）做项目可行性分析，提升成功率。”</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b/>
                <w:bCs/>
                <w:color w:val="0000FF"/>
                <w:kern w:val="0"/>
                <w:highlight w:val="none"/>
                <w:u w:val="single"/>
              </w:rPr>
              <w:t>场景四：培训课程智能匹配</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场景概述：</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模拟失业人员咨询职业培训课程，智能体需结合失业人员技能基础、职业发展需求、培训补贴政策，精准匹配适配的培训课程，并给出补贴政策和推荐的培训课程。</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核心任务流程：</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用户输入：“我今年38岁，之前在工厂做机械操作工，现在失业了，只有初中毕业证，想转行做电商运营，不知道该报什么培训课程？另外，失业人员参加培训有补贴吗？”</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智能体应完成：</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意图与实体识别：核心意图“培训课程咨询+培训补贴申领咨询”，提取实体“38岁”“初中毕业证”“失业人员”“转行电商运营）”。</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多维度匹配与政策检索：</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课程匹配：结合“初中毕业证”学历要求、“零电商基础”技能现状、“转行电商运营”目标，检索 COURSE_A01（电商运营入门实战班）、COURSE_A02（跨境电商基础课程），均符合学历门槛且侧重零基础教学，其中 COURSE_A01 含店铺运营全流程实操训练，更贴合转行就业需求。</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政策检索：POLICY_A02（失业人员职业培训补贴政策），“企业在职职工或失业人员取得初级/中级/高级职业资格证书（或职业技能等级证书），可在证书核发之日起12个月内申请补贴，标准分别为1000元/1500元/2000元”。</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结构化输出：</w:t>
            </w:r>
          </w:p>
          <w:p>
            <w:pPr>
              <w:pStyle w:val="2"/>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课程推荐：“推荐您优先选择《电商运营入门实战班》：学历要求匹配（初中及以上），零基础可学，课程涵盖店铺搭建、产品上架、流量运营等核心技能，贴合您转行电商运营的需求。</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default" w:ascii="仿宋" w:hAnsi="仿宋" w:eastAsia="仿宋" w:cs="仿宋"/>
                <w:color w:val="0000FF"/>
                <w:kern w:val="0"/>
                <w:highlight w:val="none"/>
              </w:rPr>
              <w:t>补贴说明：“根据《失业人员职业培训补贴政策》，企业在职职工或失业人员取得初级/中级/高级职业资格证书（或职业技能等级证书），可在证书核发之日起12个月内申请补贴，标准分别为1000元/1500元/2000元”。</w:t>
            </w:r>
          </w:p>
        </w:tc>
      </w:tr>
    </w:tbl>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ZjMDgwZmRmYmVhZWYwMDVlMDA5ZmUxMTRlZjU5ZGYifQ=="/>
  </w:docVars>
  <w:rsids>
    <w:rsidRoot w:val="5D10323B"/>
    <w:rsid w:val="5D103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Body Text"/>
    <w:basedOn w:val="1"/>
    <w:qFormat/>
    <w:uiPriority w:val="0"/>
    <w:pPr>
      <w:tabs>
        <w:tab w:val="left" w:pos="567"/>
      </w:tabs>
      <w:spacing w:before="120" w:line="22" w:lineRule="atLeast"/>
    </w:pPr>
    <w:rPr>
      <w:rFonts w:ascii="宋体" w:hAnsi="宋体"/>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_Style 7"/>
    <w:basedOn w:val="1"/>
    <w:autoRedefine/>
    <w:qFormat/>
    <w:uiPriority w:val="0"/>
    <w:rPr>
      <w:rFonts w:ascii="Calibri" w:hAnsi="Calibri"/>
      <w:szCs w:val="22"/>
    </w:rPr>
  </w:style>
  <w:style w:type="paragraph" w:customStyle="1" w:styleId="7">
    <w:name w:val="Table Paragraph"/>
    <w:basedOn w:val="1"/>
    <w:qFormat/>
    <w:uiPriority w:val="1"/>
    <w:rPr>
      <w:rFonts w:ascii="宋体" w:hAnsi="宋体" w:cs="宋体"/>
      <w:lang w:val="zh-CN" w:bidi="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2026-01-26T01:22:00Z</dcterms:created>
  <dc:creator>A@锋哥</dc:creator>
  <cp:lastModifiedBy>A@锋哥</cp:lastModifiedBy>
  <dcterms:modified xsi:type="dcterms:W3CDTF">2026-01-26T01:22:21Z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5B7889C27AB2471A9D4D005BB48AB904_11</vt:lpwstr>
  </property>
</Properties>
</file>