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作业2：英文论文标题与摘要生成及比较</w:t>
      </w:r>
    </w:p>
    <w:p>
      <w:pPr>
        <w:pStyle w:val="Heading2"/>
      </w:pPr>
      <w:r>
        <w:t>原标题：</w:t>
      </w:r>
    </w:p>
    <w:p>
      <w:r>
        <w:t>Enzyme- and Relative Humidity-Responsive Antimicrobial Fibers for Active Food Packaging</w:t>
      </w:r>
    </w:p>
    <w:p>
      <w:pPr>
        <w:pStyle w:val="Heading2"/>
      </w:pPr>
      <w:r>
        <w:t>AI（OpenAI ChatGPT / Codex，GPT-6）生成标题：</w:t>
      </w:r>
    </w:p>
    <w:p>
      <w:r>
        <w:t>Electrospun Biopolymer Nanofibers for Enzyme- and Humidity-Triggered Antimicrobial Delivery in Food Packaging</w:t>
      </w:r>
    </w:p>
    <w:p>
      <w:pPr>
        <w:pStyle w:val="Heading2"/>
      </w:pPr>
      <w:r>
        <w:t>原摘要：</w:t>
      </w:r>
    </w:p>
    <w:p>
      <w:r>
        <w:t>Active food packaging materials that are sustainable, biodegradable, and capable of precise delivery of antimicrobial active ingredients (AIs) are in high demand. Here, we report the development of novel enzyme- and relative humidity (RH)-responsive antimicrobial fibers with an average diameter of 225 ± 50 nm, which can be deposited as a functional layer for packaging materials. Cellulose nanocrystals (CNCs), zein (protein), and starch were electrospun to form multi-stimuli-responsive fibers that incorporated a cocktail of both free nature-derived antimicrobials such as thyme oil, citric acid, and nisin and cyclodextrin-inclusion complexes (CD-ICs) of thyme oil, sorbic acid, and nisin. The multistimuli-responsive fibers were designed to release the free AIs and CD-ICs of AIs in response to enzyme and RH triggers, respectively. Enzyme-responsive release of free AIs is achieved due to the degradation of selected polymers, forming the backbone of the fibers. For instance, protease enzyme can degrade zein polymer, further accelerating the release of AIs from the fibers. Similarly, RH-responsive release is obtained due to the unique chemical nature of CD-ICs, enabling the release of AIs from the cavity at high RH. The successful synthesis of CD-ICs of AIs and incorporation of antimicrobials in the structure of the multistimuli-responsive fibers were confirmed by X-ray diffraction and Fourier transform infrared spectrometry. Fibers were capable of releasing free AIs when triggered by microorganism-exudated enzymes in a dose-dependent manner and releasing CD-IC form of AIs in response to high relative humidity (95% RH). With 24 h of exposure, stimuli-responsive fibers significantly reduced the populations of foodborne pathogenic bacterial surrogates Escherichia coli (by ∼5 log unit) and Listeria innocua (by ∼5 log unit), as well as fungi Aspergillus fumigatus (by &gt;1 log unit). More importantly, the fibers released more AIs at 95% RH than at 50% RH, which resulted in a higher population reduction of E. coli at 95% RH. Such biodegradable, nontoxic, and multistimuli-responsive antimicrobial fibers have great potential for broad applications as active and smart packaging systems.</w:t>
      </w:r>
    </w:p>
    <w:p>
      <w:r>
        <w:rPr>
          <w:sz w:val="18"/>
        </w:rPr>
        <w:t>原摘要转录自所上传 PDF 第1页；仅合并断行、恢复排版连字，未改写内容。</w:t>
      </w:r>
    </w:p>
    <w:p>
      <w:r>
        <w:br w:type="page"/>
      </w:r>
    </w:p>
    <w:p>
      <w:pPr>
        <w:pStyle w:val="Heading2"/>
      </w:pPr>
      <w:r>
        <w:t>AI（OpenAI ChatGPT / Codex，GPT-6）生成摘要：</w:t>
      </w:r>
    </w:p>
    <w:p>
      <w:r>
        <w:t>Stimulus-responsive packaging offers a way to deliver antimicrobials when conditions favor microbial contamination. This study developed electrospun nanofibers from zein, starch, and cellulose nanocrystals, combining free thyme oil, citric acid, and nisin with cyclodextrin inclusion complexes containing thyme oil, sorbic acid, and nisin. Enzymatic degradation of the biopolymer matrix and humidity-dependent release from the inclusion complexes were used as complementary delivery mechanisms. Scanning electron microscopy, X-ray diffraction, and infrared spectroscopy characterized fiber morphology and antimicrobial incorporation, while liquid chromatography–high-resolution mass spectrometry tracked thymol as a release marker. The resulting multistimuli-responsive fibers were uniform and bead-free, with a mean diameter of 225 ± 50 nm. In separate enzyme-responsive fibers, thymol release reached approximately 23% in enzyme solution, compared with 13% in phosphate-buffered saline. Humidity-responsive fibers released more thymol at 95% than at 50% relative humidity. At a fiber loading of 2.50 mg/cm², multistimuli-responsive fibers achieved approximately 5-log reductions in Escherichia coli and Listeria innocua and a 1.4-log reduction in Aspergillus fumigatus after 24 h of contact. These findings support the potential of biodegradable fibrous coatings for responsive antimicrobial food packaging; performance in actual foods and effects on sensory quality require further evaluation.</w:t>
      </w:r>
    </w:p>
    <w:p>
      <w:pPr>
        <w:pStyle w:val="Heading2"/>
      </w:pPr>
      <w:r>
        <w:t>比较异同（选写）：</w:t>
      </w:r>
    </w:p>
    <w:p>
      <w:r>
        <w:rPr>
          <w:b/>
        </w:rPr>
        <w:t xml:space="preserve">Title. </w:t>
      </w:r>
      <w:r>
        <w:t>Both titles identify enzyme and humidity responsiveness, antimicrobial fibers, and food packaging. The original is shorter and foregrounds the two triggers. The AI title adds the fabrication method and biopolymer composition, giving more methodological detail but increasing its length.</w:t>
      </w:r>
    </w:p>
    <w:p>
      <w:r>
        <w:rPr>
          <w:b/>
        </w:rPr>
        <w:t xml:space="preserve">Abstract. </w:t>
      </w:r>
      <w:r>
        <w:t>Both versions cover the materials, two release mechanisms, fiber diameter, and antibacterial and antifungal effects. The original gives more space to the design rationale and enzyme-dependent release, and explicitly links higher humidity to greater E. coli reduction. The AI version adds microscopy, thymol-based release measurements, the 23% versus 13% release comparison, and the fiber loading used in antimicrobial testing. It reports the fungal reduction as 1.4 log rather than the broader &gt;1 log in the original.</w:t>
      </w:r>
    </w:p>
    <w:p>
      <w:r>
        <w:rPr>
          <w:b/>
        </w:rPr>
        <w:t xml:space="preserve">Evidence and emphasis. </w:t>
      </w:r>
      <w:r>
        <w:t>The AI version distinguishes the separate enzyme-responsive and humidity-responsive experiments from tests of multistimuli-responsive fibers. It also adds a cautious statement about actual-food performance and sensory quality. This is an inference about further validation, not a reported experimental result. Because thymol was the release marker, its kinetics should not be assumed to represent every antimicrobial ingredient.</w:t>
      </w:r>
    </w:p>
    <w:p>
      <w:pPr>
        <w:pStyle w:val="Heading2"/>
      </w:pPr>
      <w:r>
        <w:t>生成过程与检索说明：</w:t>
      </w:r>
    </w:p>
    <w:p>
      <w:pPr>
        <w:spacing w:after="80"/>
      </w:pPr>
      <w:r>
        <w:rPr>
          <w:sz w:val="18"/>
        </w:rPr>
        <w:t>先读取附件正文并保存 AI 标题和摘要初稿，再检索原论文；检索后未改写 AI 初稿。附件底层文本实际保留了原题目与摘要，读取时已被看到，因此本次并非严格盲生成，不能据此评价 AI 在完全未见原摘要时的表现。</w:t>
      </w:r>
    </w:p>
    <w:p>
      <w:pPr>
        <w:pStyle w:val="Heading2"/>
      </w:pPr>
      <w:r>
        <w:t>原论文与核对来源：</w:t>
      </w:r>
    </w:p>
    <w:p>
      <w:pPr>
        <w:spacing w:after="40"/>
      </w:pPr>
      <w:r>
        <w:rPr>
          <w:sz w:val="18"/>
        </w:rPr>
        <w:t>Aytac, Z., et al. (2021). Enzyme- and Relative Humidity-Responsive Antimicrobial Fibers for Active Food Packaging. ACS Applied Materials &amp; Interfaces, 13(42), 50298–50308.</w:t>
      </w:r>
    </w:p>
    <w:p>
      <w:pPr>
        <w:spacing w:after="40"/>
      </w:pPr>
      <w:r>
        <w:rPr>
          <w:sz w:val="18"/>
        </w:rPr>
        <w:t>DOI / 出版社：https://doi.org/10.1021/acsami.1c12319</w:t>
      </w:r>
    </w:p>
    <w:p>
      <w:pPr>
        <w:spacing w:after="40"/>
      </w:pPr>
      <w:r>
        <w:rPr>
          <w:sz w:val="18"/>
        </w:rPr>
        <w:t>题录核对：https://pubmed.ncbi.nlm.nih.gov/34648257/ （检索日期：2026年10月19日）</w:t>
      </w:r>
    </w:p>
    <w:sectPr w:rsidR="00FC693F" w:rsidRPr="0006063C" w:rsidSect="00034616">
      <w:footerReference w:type="default" r:id="rId9"/>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作业2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Noto Sans CJK SC"/>
      <w:b/>
      <w:bCs/>
      <w:color w:val="203D56"/>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Noto Sans CJK SC"/>
      <w:b/>
      <w:bCs/>
      <w:color w:val="203D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作业2：英文论文标题与摘要生成及比较</dc:title>
  <dc:subject>AI-generated title and abstract with source comparison and process disclosure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