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60"/>
        <w:rPr/>
      </w:pPr>
      <w:r>
        <w:rPr/>
        <w:t>养生</w:t>
      </w:r>
      <w:r>
        <w:rPr/>
        <w:t xml:space="preserve">APP  </w:t>
      </w:r>
      <w:r>
        <w:rPr/>
        <w:t>产品构思</w:t>
      </w:r>
    </w:p>
    <w:p>
      <w:pPr>
        <w:pStyle w:val="1"/>
        <w:rPr/>
      </w:pPr>
      <w:r>
        <w:rPr/>
        <w:t>问题描述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</w:rPr>
        <w:t>随着科学技术以及医学技术的发展，人们伴着年龄的增长越来越在乎关于养生方面的问题，在此之前已经有许多养生节目的推出，并取得了不错的成绩，但养生节目到底不够仔细，存在许多问题：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  <w:szCs w:val="28"/>
        </w:rPr>
        <w:t>节目内容不够贴合自身情况，每天的播出内容不一定就是适合自身体质的；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  <w:szCs w:val="28"/>
        </w:rPr>
        <w:t>节目时间固定在某一时间段，不够自由；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产品愿景和商业机会</w:t>
      </w:r>
    </w:p>
    <w:p>
      <w:pPr>
        <w:pStyle w:val="Normal"/>
        <w:rPr/>
      </w:pPr>
      <w:r>
        <w:rPr>
          <w:b/>
          <w:sz w:val="28"/>
          <w:szCs w:val="28"/>
        </w:rPr>
        <w:t>定位：</w:t>
      </w:r>
      <w:r>
        <w:rPr>
          <w:b w:val="false"/>
          <w:bCs w:val="false"/>
          <w:sz w:val="28"/>
          <w:szCs w:val="28"/>
        </w:rPr>
        <w:t>为给所有人群提供享受便利、贴心、实用的贴身医生般感觉的养生</w:t>
      </w:r>
      <w:r>
        <w:rPr>
          <w:b w:val="false"/>
          <w:bCs w:val="false"/>
          <w:sz w:val="28"/>
          <w:szCs w:val="28"/>
        </w:rPr>
        <w:t>APP</w:t>
      </w:r>
      <w:r>
        <w:rPr>
          <w:b w:val="false"/>
          <w:bCs w:val="false"/>
          <w:sz w:val="28"/>
          <w:szCs w:val="28"/>
        </w:rPr>
        <w:t>，使养生人群拥有健康的身体</w:t>
      </w:r>
      <w:r>
        <w:rPr>
          <w:sz w:val="28"/>
          <w:szCs w:val="28"/>
        </w:rPr>
        <w:t>；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商业机会：</w:t>
      </w:r>
    </w:p>
    <w:p>
      <w:pPr>
        <w:pStyle w:val="ListParagraph"/>
        <w:numPr>
          <w:ilvl w:val="1"/>
          <w:numId w:val="2"/>
        </w:numPr>
        <w:rPr/>
      </w:pPr>
      <w:r>
        <w:rPr>
          <w:sz w:val="28"/>
          <w:szCs w:val="28"/>
        </w:rPr>
        <w:t>用户群主要定位于想要养生的年轻人和中年人。消费群体和货源规模都足够大；</w:t>
      </w:r>
    </w:p>
    <w:p>
      <w:pPr>
        <w:pStyle w:val="ListParagraph"/>
        <w:numPr>
          <w:ilvl w:val="1"/>
          <w:numId w:val="2"/>
        </w:numPr>
        <w:rPr/>
      </w:pPr>
      <w:r>
        <w:rPr>
          <w:sz w:val="28"/>
          <w:szCs w:val="28"/>
        </w:rPr>
        <w:t>针对养生人群的自身体质，生成独有的体质报告；</w:t>
      </w:r>
    </w:p>
    <w:p>
      <w:pPr>
        <w:pStyle w:val="ListParagraph"/>
        <w:numPr>
          <w:ilvl w:val="1"/>
          <w:numId w:val="2"/>
        </w:numPr>
        <w:rPr/>
      </w:pPr>
      <w:r>
        <w:rPr>
          <w:sz w:val="28"/>
          <w:szCs w:val="28"/>
        </w:rPr>
        <w:t>规划每个人的生活，设有计划编辑这一项，让每个人的生活更加规律健康；</w:t>
      </w:r>
    </w:p>
    <w:p>
      <w:pPr>
        <w:pStyle w:val="ListParagraph"/>
        <w:numPr>
          <w:ilvl w:val="1"/>
          <w:numId w:val="2"/>
        </w:numPr>
        <w:rPr/>
      </w:pPr>
      <w:r>
        <w:rPr>
          <w:sz w:val="28"/>
          <w:szCs w:val="28"/>
        </w:rPr>
        <w:t>针对人群没有大量时间去养生的特点；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商业模式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用户分析</w:t>
      </w:r>
    </w:p>
    <w:p>
      <w:pPr>
        <w:pStyle w:val="Normal"/>
        <w:rPr/>
      </w:pPr>
      <w:r>
        <w:rPr>
          <w:sz w:val="28"/>
          <w:szCs w:val="28"/>
        </w:rPr>
        <w:t>本养生</w:t>
      </w:r>
      <w:r>
        <w:rPr>
          <w:sz w:val="28"/>
          <w:szCs w:val="28"/>
        </w:rPr>
        <w:t>APP</w:t>
      </w:r>
      <w:r>
        <w:rPr>
          <w:sz w:val="28"/>
          <w:szCs w:val="28"/>
        </w:rPr>
        <w:t>主要服务养生用户：</w:t>
      </w:r>
    </w:p>
    <w:p>
      <w:pPr>
        <w:pStyle w:val="ListParagraph"/>
        <w:widowControl/>
        <w:numPr>
          <w:ilvl w:val="0"/>
          <w:numId w:val="4"/>
        </w:numPr>
        <w:spacing w:lineRule="auto" w:line="360"/>
        <w:rPr/>
      </w:pPr>
      <w:r>
        <w:rPr>
          <w:sz w:val="28"/>
          <w:szCs w:val="28"/>
        </w:rPr>
        <w:t>青年和中年人。</w:t>
      </w:r>
    </w:p>
    <w:p>
      <w:pPr>
        <w:pStyle w:val="ListParagraph"/>
        <w:widowControl/>
        <w:numPr>
          <w:ilvl w:val="1"/>
          <w:numId w:val="4"/>
        </w:numPr>
        <w:spacing w:lineRule="auto" w:line="360"/>
        <w:rPr/>
      </w:pPr>
      <w:r>
        <w:rPr>
          <w:sz w:val="28"/>
          <w:szCs w:val="28"/>
        </w:rPr>
        <w:t>愿望：定位标准的体质报告，不需要占用固定且大量的时间；</w:t>
      </w:r>
    </w:p>
    <w:p>
      <w:pPr>
        <w:pStyle w:val="ListParagraph"/>
        <w:widowControl/>
        <w:numPr>
          <w:ilvl w:val="1"/>
          <w:numId w:val="4"/>
        </w:numPr>
        <w:spacing w:lineRule="auto" w:line="360"/>
        <w:rPr/>
      </w:pPr>
      <w:r>
        <w:rPr>
          <w:sz w:val="28"/>
          <w:szCs w:val="28"/>
        </w:rPr>
        <w:t xml:space="preserve">养生观念：希望拥有规律的生活，从而拥有健康的身体； </w:t>
      </w:r>
    </w:p>
    <w:p>
      <w:pPr>
        <w:pStyle w:val="ListParagraph"/>
        <w:widowControl/>
        <w:numPr>
          <w:ilvl w:val="1"/>
          <w:numId w:val="4"/>
        </w:numPr>
        <w:spacing w:lineRule="auto" w:line="360"/>
        <w:rPr/>
      </w:pPr>
      <w:r>
        <w:rPr>
          <w:sz w:val="28"/>
          <w:szCs w:val="28"/>
        </w:rPr>
        <w:t>计算机能力：熟练使用手机和各类</w:t>
      </w:r>
      <w:r>
        <w:rPr>
          <w:sz w:val="28"/>
          <w:szCs w:val="28"/>
        </w:rPr>
        <w:t>APP</w:t>
      </w:r>
      <w:r>
        <w:rPr>
          <w:sz w:val="28"/>
          <w:szCs w:val="28"/>
        </w:rPr>
        <w:t>；</w:t>
      </w:r>
    </w:p>
    <w:p>
      <w:pPr>
        <w:pStyle w:val="ListParagraph"/>
        <w:widowControl/>
        <w:numPr>
          <w:ilvl w:val="1"/>
          <w:numId w:val="4"/>
        </w:numPr>
        <w:spacing w:lineRule="auto" w:line="360"/>
        <w:rPr/>
      </w:pPr>
      <w:r>
        <w:rPr>
          <w:sz w:val="28"/>
          <w:szCs w:val="28"/>
        </w:rPr>
        <w:t>其它：与其他养生人群沟通交流便利；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技术分析</w:t>
      </w:r>
    </w:p>
    <w:p>
      <w:pPr>
        <w:pStyle w:val="Style18"/>
        <w:rPr/>
      </w:pPr>
      <w:r>
        <w:rPr/>
        <w:t>采用的技术架构</w:t>
      </w:r>
    </w:p>
    <w:p>
      <w:pPr>
        <w:pStyle w:val="Normal"/>
        <w:ind w:firstLine="420"/>
        <w:rPr/>
      </w:pPr>
      <w:r>
        <w:rPr>
          <w:sz w:val="28"/>
          <w:szCs w:val="28"/>
        </w:rPr>
        <w:t>以基于互联网的</w:t>
      </w:r>
      <w:r>
        <w:rPr>
          <w:sz w:val="28"/>
          <w:szCs w:val="28"/>
        </w:rPr>
        <w:t>WEB</w:t>
      </w:r>
      <w:r>
        <w:rPr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angular</w:t>
      </w:r>
      <w:r>
        <w:rPr>
          <w:sz w:val="28"/>
          <w:szCs w:val="28"/>
        </w:rPr>
        <w:t>、</w:t>
      </w:r>
      <w:r>
        <w:rPr>
          <w:sz w:val="28"/>
          <w:szCs w:val="28"/>
        </w:rPr>
        <w:t>ionic</w:t>
      </w:r>
      <w:r>
        <w:rPr>
          <w:sz w:val="28"/>
          <w:szCs w:val="28"/>
        </w:rPr>
        <w:t>，后端技术采用</w:t>
      </w:r>
      <w:r>
        <w:rPr>
          <w:sz w:val="28"/>
          <w:szCs w:val="28"/>
        </w:rPr>
        <w:t>node.js</w:t>
      </w:r>
      <w:r>
        <w:rPr>
          <w:sz w:val="28"/>
          <w:szCs w:val="28"/>
        </w:rPr>
        <w:t>技术，可免费快速完成开发；</w:t>
      </w:r>
    </w:p>
    <w:p>
      <w:pPr>
        <w:pStyle w:val="Style18"/>
        <w:rPr/>
      </w:pPr>
      <w:r>
        <w:rPr/>
        <w:t>平台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Style18"/>
        <w:rPr/>
      </w:pPr>
      <w:r>
        <w:rPr/>
        <w:t>软硬件、网络支持</w:t>
      </w:r>
    </w:p>
    <w:p>
      <w:pPr>
        <w:pStyle w:val="Normal"/>
        <w:ind w:firstLine="420"/>
        <w:rPr>
          <w:sz w:val="28"/>
          <w:szCs w:val="28"/>
        </w:rPr>
      </w:pPr>
      <w:r>
        <w:rPr>
          <w:sz w:val="28"/>
          <w:szCs w:val="28"/>
        </w:rPr>
        <w:t>由于所选支撑平台均是强大的服务商，能满足早期的需求，无需额外的支持；</w:t>
      </w:r>
    </w:p>
    <w:p>
      <w:pPr>
        <w:pStyle w:val="Style18"/>
        <w:rPr/>
      </w:pPr>
      <w:r>
        <w:rPr/>
        <w:t>技术难点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无开发技术难点；产品设计上重点考虑如何符合学生群体特征提供快速商品定位，同时支持灵活的商品推荐，比如节日、重要事件等；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资源需求估计</w:t>
      </w:r>
    </w:p>
    <w:p>
      <w:pPr>
        <w:pStyle w:val="Style18"/>
        <w:rPr/>
      </w:pPr>
      <w:r>
        <w:rPr/>
        <w:t>人员</w:t>
      </w:r>
    </w:p>
    <w:p>
      <w:pPr>
        <w:pStyle w:val="Normal"/>
        <w:ind w:left="420" w:hanging="0"/>
        <w:rPr/>
      </w:pPr>
      <w:r>
        <w:rPr>
          <w:sz w:val="28"/>
          <w:szCs w:val="28"/>
        </w:rPr>
        <w:t>产品经理：依据本产品的商业背景和定位，吸取成功开发的养生类</w:t>
      </w:r>
      <w:r>
        <w:rPr>
          <w:sz w:val="28"/>
          <w:szCs w:val="28"/>
        </w:rPr>
        <w:t>APP</w:t>
      </w:r>
      <w:r>
        <w:rPr>
          <w:sz w:val="28"/>
          <w:szCs w:val="28"/>
        </w:rPr>
        <w:t>的成熟经验，结合地方特点和用户特征，设计符合</w:t>
      </w:r>
      <w:bookmarkStart w:id="0" w:name="_GoBack"/>
      <w:bookmarkEnd w:id="0"/>
      <w:r>
        <w:rPr>
          <w:sz w:val="28"/>
          <w:szCs w:val="28"/>
          <w:lang w:eastAsia="zh-CN"/>
        </w:rPr>
        <w:t>养生人群</w:t>
      </w:r>
      <w:r>
        <w:rPr>
          <w:sz w:val="28"/>
          <w:szCs w:val="28"/>
        </w:rPr>
        <w:t>的产品。</w:t>
      </w:r>
    </w:p>
    <w:p>
      <w:pPr>
        <w:pStyle w:val="Normal"/>
        <w:ind w:left="420" w:hanging="0"/>
        <w:rPr>
          <w:sz w:val="28"/>
          <w:szCs w:val="28"/>
        </w:rPr>
      </w:pPr>
      <w:r>
        <w:rPr>
          <w:sz w:val="28"/>
          <w:szCs w:val="28"/>
        </w:rPr>
        <w:t>IT</w:t>
      </w:r>
      <w:r>
        <w:rPr>
          <w:sz w:val="28"/>
          <w:szCs w:val="28"/>
        </w:rPr>
        <w:t>技术专家：快速架构和实现产品，同时确保对未来快速增长交易量及灵活变化的商品展示的支持。</w:t>
      </w:r>
    </w:p>
    <w:p>
      <w:pPr>
        <w:pStyle w:val="Normal"/>
        <w:ind w:left="420" w:hanging="0"/>
        <w:rPr>
          <w:sz w:val="28"/>
          <w:szCs w:val="28"/>
        </w:rPr>
      </w:pPr>
      <w:r>
        <w:rPr>
          <w:sz w:val="28"/>
          <w:szCs w:val="28"/>
        </w:rPr>
        <w:t>学生代表：有较多购物经历的学生代表，帮助分析学生群体的购物和消费特征；</w:t>
      </w:r>
    </w:p>
    <w:p>
      <w:pPr>
        <w:pStyle w:val="Normal"/>
        <w:ind w:left="420" w:hanging="0"/>
        <w:rPr/>
      </w:pPr>
      <w:r>
        <w:rPr>
          <w:sz w:val="28"/>
          <w:szCs w:val="28"/>
        </w:rPr>
        <w:t>用户代表：有较多养生经验的用户，帮助养生人群关注养生信息的特征；</w:t>
      </w:r>
    </w:p>
    <w:p>
      <w:pPr>
        <w:pStyle w:val="Style18"/>
        <w:rPr/>
      </w:pPr>
      <w:r>
        <w:rPr/>
        <w:t>资金</w:t>
      </w:r>
    </w:p>
    <w:p>
      <w:pPr>
        <w:pStyle w:val="Normal"/>
        <w:ind w:firstLine="420"/>
        <w:rPr>
          <w:sz w:val="28"/>
          <w:szCs w:val="28"/>
        </w:rPr>
      </w:pPr>
      <w:r>
        <w:rPr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Style18"/>
        <w:rPr/>
      </w:pPr>
      <w:r>
        <w:rPr/>
        <w:t>设备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一台本地</w:t>
      </w:r>
      <w:r>
        <w:rPr>
          <w:sz w:val="28"/>
          <w:szCs w:val="28"/>
        </w:rPr>
        <w:t>PC</w:t>
      </w:r>
      <w:r>
        <w:rPr>
          <w:sz w:val="28"/>
          <w:szCs w:val="28"/>
        </w:rPr>
        <w:t>服务器；</w:t>
      </w:r>
    </w:p>
    <w:p>
      <w:pPr>
        <w:pStyle w:val="Style18"/>
        <w:rPr/>
      </w:pPr>
      <w:r>
        <w:rPr/>
        <w:t>设施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10</w:t>
      </w:r>
      <w:r>
        <w:rPr>
          <w:sz w:val="28"/>
          <w:szCs w:val="28"/>
        </w:rPr>
        <w:t>平米以内的固定工作场地；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风险分析</w:t>
      </w:r>
    </w:p>
    <w:tbl>
      <w:tblPr>
        <w:tblStyle w:val="6"/>
        <w:tblW w:w="8421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3"/>
        <w:gridCol w:w="1649"/>
        <w:gridCol w:w="4820"/>
        <w:gridCol w:w="1418"/>
      </w:tblGrid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编号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事件描述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类型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R1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/>
            </w:pPr>
            <w:r>
              <w:rPr>
                <w:rFonts w:ascii="宋体" w:hAnsi="宋体"/>
                <w:bCs/>
                <w:color w:val="000000"/>
                <w:szCs w:val="21"/>
              </w:rPr>
              <w:t>功能不够完善，市场竞争力较弱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/>
            </w:pPr>
            <w:r>
              <w:rPr>
                <w:rFonts w:ascii="宋体" w:hAnsi="宋体"/>
                <w:bCs/>
                <w:color w:val="000000"/>
                <w:szCs w:val="21"/>
              </w:rPr>
              <w:t>APP</w:t>
            </w:r>
            <w:r>
              <w:rPr>
                <w:rFonts w:ascii="宋体" w:hAnsi="宋体"/>
                <w:bCs/>
                <w:color w:val="000000"/>
                <w:szCs w:val="21"/>
              </w:rPr>
              <w:t>功能没有新意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/>
            </w:pPr>
            <w:r>
              <w:rPr>
                <w:bCs/>
                <w:color w:val="000000"/>
                <w:szCs w:val="21"/>
              </w:rPr>
              <w:t>业务风险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R2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/>
            </w:pPr>
            <w:r>
              <w:rPr>
                <w:rFonts w:ascii="宋体" w:hAnsi="宋体"/>
                <w:bCs/>
                <w:color w:val="000000"/>
                <w:szCs w:val="21"/>
              </w:rPr>
              <w:t>项目功能不明确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/>
            </w:pPr>
            <w:r>
              <w:rPr>
                <w:rFonts w:ascii="宋体" w:hAnsi="宋体"/>
                <w:bCs/>
                <w:color w:val="000000"/>
                <w:szCs w:val="21"/>
              </w:rPr>
              <w:t>对市场所需了解较少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/>
            </w:pPr>
            <w:r>
              <w:rPr>
                <w:bCs/>
                <w:color w:val="000000"/>
                <w:szCs w:val="21"/>
              </w:rPr>
              <w:t>项目风险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Cs/>
                <w:szCs w:val="21"/>
              </w:rPr>
            </w:pPr>
            <w:r>
              <w:rPr>
                <w:bCs/>
                <w:szCs w:val="21"/>
              </w:rPr>
              <w:t>R3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/>
            </w:pPr>
            <w:r>
              <w:rPr>
                <w:rFonts w:ascii="Calibri" w:hAnsi="Calibri"/>
                <w:bCs/>
                <w:color w:val="000000"/>
                <w:szCs w:val="21"/>
              </w:rPr>
              <w:t>项目进度较慢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/>
            </w:pPr>
            <w:r>
              <w:rPr>
                <w:bCs/>
                <w:color w:val="000000"/>
                <w:szCs w:val="21"/>
              </w:rPr>
              <w:t>小组集中度不够高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/>
            </w:pPr>
            <w:r>
              <w:rPr>
                <w:bCs/>
                <w:szCs w:val="21"/>
              </w:rPr>
              <w:t>进度风险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/>
            </w:pPr>
            <w:r>
              <w:rPr>
                <w:bCs/>
                <w:szCs w:val="21"/>
              </w:rPr>
              <w:t>R4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rFonts w:ascii="Calibri" w:hAnsi="Calibri"/>
                <w:bCs/>
                <w:szCs w:val="21"/>
              </w:rPr>
            </w:pPr>
            <w:r>
              <w:rPr>
                <w:rFonts w:ascii="Calibri" w:hAnsi="Calibri"/>
              </w:rPr>
              <w:t>技术不合适，达不到预期效果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/>
            </w:pPr>
            <w:r>
              <w:rPr>
                <w:bCs/>
                <w:szCs w:val="21"/>
              </w:rPr>
              <w:t>技术不合理，给后期维护带来巨大的负担，和维护成本的激增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Cs/>
                <w:szCs w:val="21"/>
              </w:rPr>
            </w:pPr>
            <w:r>
              <w:rPr>
                <w:bCs/>
                <w:szCs w:val="21"/>
              </w:rPr>
              <w:t>技术风险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Cs/>
                <w:szCs w:val="21"/>
              </w:rPr>
            </w:pPr>
            <w:r>
              <w:rPr>
                <w:bCs/>
                <w:szCs w:val="21"/>
              </w:rPr>
              <w:t>R5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无法获得足够的推广费用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Cs/>
                <w:szCs w:val="21"/>
              </w:rPr>
            </w:pPr>
            <w:r>
              <w:rPr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Cs/>
                <w:szCs w:val="21"/>
              </w:rPr>
            </w:pPr>
            <w:r>
              <w:rPr>
                <w:bCs/>
                <w:szCs w:val="21"/>
              </w:rPr>
              <w:t>资金风险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收益分析</w:t>
      </w:r>
    </w:p>
    <w:p>
      <w:pPr>
        <w:pStyle w:val="Normal"/>
        <w:spacing w:lineRule="auto" w:line="360"/>
        <w:ind w:left="720" w:hanging="0"/>
        <w:rPr>
          <w:rFonts w:ascii="仿宋_GB2312" w:hAnsi="仿宋_GB2312" w:eastAsia="仿宋_GB2312"/>
          <w:sz w:val="28"/>
          <w:szCs w:val="28"/>
        </w:rPr>
      </w:pPr>
      <w:r>
        <w:rPr>
          <w:rFonts w:ascii="仿宋_GB2312" w:hAnsi="仿宋_GB2312" w:eastAsia="仿宋_GB2312"/>
          <w:sz w:val="28"/>
          <w:szCs w:val="28"/>
        </w:rPr>
        <w:t>财务分析的估算结果如下，几项重要参数说明：</w:t>
      </w:r>
    </w:p>
    <w:p>
      <w:pPr>
        <w:pStyle w:val="Normal"/>
        <w:numPr>
          <w:ilvl w:val="0"/>
          <w:numId w:val="5"/>
        </w:numPr>
        <w:spacing w:lineRule="auto" w:line="360"/>
        <w:jc w:val="left"/>
        <w:rPr>
          <w:rFonts w:ascii="仿宋_GB2312" w:hAnsi="仿宋_GB2312" w:eastAsia="仿宋_GB2312"/>
          <w:sz w:val="28"/>
          <w:szCs w:val="28"/>
        </w:rPr>
      </w:pPr>
      <w:r>
        <w:rPr>
          <w:rFonts w:ascii="仿宋_GB2312" w:hAnsi="仿宋_GB2312" w:eastAsia="仿宋_GB2312"/>
          <w:sz w:val="28"/>
          <w:szCs w:val="28"/>
        </w:rPr>
        <w:t>折现率假设为</w:t>
      </w:r>
      <w:r>
        <w:rPr>
          <w:rFonts w:eastAsia="仿宋_GB2312" w:ascii="仿宋_GB2312" w:hAnsi="仿宋_GB2312"/>
          <w:sz w:val="28"/>
          <w:szCs w:val="28"/>
        </w:rPr>
        <w:t>10%</w:t>
      </w:r>
      <w:r>
        <w:rPr>
          <w:rFonts w:ascii="仿宋_GB2312" w:hAnsi="仿宋_GB2312" w:eastAsia="仿宋_GB2312"/>
          <w:sz w:val="28"/>
          <w:szCs w:val="28"/>
        </w:rPr>
        <w:t>，这是比较通用的一个值；</w:t>
      </w:r>
    </w:p>
    <w:p>
      <w:pPr>
        <w:pStyle w:val="Normal"/>
        <w:numPr>
          <w:ilvl w:val="0"/>
          <w:numId w:val="5"/>
        </w:numPr>
        <w:spacing w:lineRule="auto" w:line="360"/>
        <w:jc w:val="left"/>
        <w:rPr>
          <w:rFonts w:ascii="仿宋_GB2312" w:hAnsi="仿宋_GB2312" w:eastAsia="仿宋_GB2312"/>
          <w:sz w:val="28"/>
          <w:szCs w:val="28"/>
        </w:rPr>
      </w:pPr>
      <w:r>
        <w:rPr>
          <w:rFonts w:ascii="仿宋_GB2312" w:hAnsi="仿宋_GB2312" w:eastAsia="仿宋_GB2312"/>
          <w:sz w:val="28"/>
          <w:szCs w:val="28"/>
        </w:rPr>
        <w:t>项目长周期设为</w:t>
      </w:r>
      <w:r>
        <w:rPr>
          <w:rFonts w:eastAsia="仿宋_GB2312" w:ascii="仿宋_GB2312" w:hAnsi="仿宋_GB2312"/>
          <w:sz w:val="28"/>
          <w:szCs w:val="28"/>
        </w:rPr>
        <w:t>5</w:t>
      </w:r>
      <w:r>
        <w:rPr>
          <w:rFonts w:ascii="仿宋_GB2312" w:hAnsi="仿宋_GB2312" w:eastAsia="仿宋_GB2312"/>
          <w:sz w:val="28"/>
          <w:szCs w:val="28"/>
        </w:rPr>
        <w:t>年；</w:t>
      </w:r>
    </w:p>
    <w:p>
      <w:pPr>
        <w:pStyle w:val="Normal"/>
        <w:numPr>
          <w:ilvl w:val="0"/>
          <w:numId w:val="5"/>
        </w:numPr>
        <w:spacing w:lineRule="auto" w:line="360"/>
        <w:jc w:val="left"/>
        <w:rPr>
          <w:rFonts w:ascii="仿宋_GB2312" w:hAnsi="仿宋_GB2312" w:eastAsia="仿宋_GB2312"/>
          <w:sz w:val="28"/>
          <w:szCs w:val="28"/>
        </w:rPr>
      </w:pPr>
      <w:r>
        <w:rPr>
          <w:rFonts w:ascii="仿宋_GB2312" w:hAnsi="仿宋_GB2312" w:eastAsia="仿宋_GB2312"/>
          <w:sz w:val="28"/>
          <w:szCs w:val="28"/>
        </w:rPr>
        <w:t>首年成本为上面资源分析中的成本加</w:t>
      </w:r>
      <w:r>
        <w:rPr>
          <w:rFonts w:eastAsia="仿宋_GB2312" w:ascii="仿宋_GB2312" w:hAnsi="仿宋_GB2312"/>
          <w:sz w:val="28"/>
          <w:szCs w:val="28"/>
        </w:rPr>
        <w:t>10</w:t>
      </w:r>
      <w:r>
        <w:rPr>
          <w:rFonts w:ascii="仿宋_GB2312" w:hAnsi="仿宋_GB2312" w:eastAsia="仿宋_GB2312"/>
          <w:sz w:val="28"/>
          <w:szCs w:val="28"/>
        </w:rPr>
        <w:t>万元推广成本，以后四年假设升级维护费和推广为每年</w:t>
      </w:r>
      <w:r>
        <w:rPr>
          <w:rFonts w:eastAsia="仿宋_GB2312" w:ascii="仿宋_GB2312" w:hAnsi="仿宋_GB2312"/>
          <w:sz w:val="28"/>
          <w:szCs w:val="28"/>
        </w:rPr>
        <w:t>20</w:t>
      </w:r>
      <w:r>
        <w:rPr>
          <w:rFonts w:ascii="仿宋_GB2312" w:hAnsi="仿宋_GB2312" w:eastAsia="仿宋_GB2312"/>
          <w:sz w:val="28"/>
          <w:szCs w:val="28"/>
        </w:rPr>
        <w:t>万；</w:t>
      </w:r>
    </w:p>
    <w:p>
      <w:pPr>
        <w:pStyle w:val="Normal"/>
        <w:numPr>
          <w:ilvl w:val="0"/>
          <w:numId w:val="5"/>
        </w:numPr>
        <w:spacing w:lineRule="auto" w:line="360"/>
        <w:jc w:val="left"/>
        <w:rPr>
          <w:rFonts w:ascii="仿宋_GB2312" w:hAnsi="仿宋_GB2312" w:eastAsia="仿宋_GB2312"/>
          <w:sz w:val="28"/>
          <w:szCs w:val="28"/>
        </w:rPr>
      </w:pPr>
      <w:r>
        <w:rPr>
          <w:rFonts w:ascii="仿宋_GB2312" w:hAnsi="仿宋_GB2312" w:eastAsia="仿宋_GB2312"/>
          <w:sz w:val="28"/>
          <w:szCs w:val="28"/>
        </w:rPr>
        <w:t>收益假设第一年为</w:t>
      </w:r>
      <w:r>
        <w:rPr>
          <w:rFonts w:eastAsia="仿宋_GB2312" w:ascii="仿宋_GB2312" w:hAnsi="仿宋_GB2312"/>
          <w:sz w:val="28"/>
          <w:szCs w:val="28"/>
        </w:rPr>
        <w:t>10</w:t>
      </w:r>
      <w:r>
        <w:rPr>
          <w:rFonts w:ascii="仿宋_GB2312" w:hAnsi="仿宋_GB2312" w:eastAsia="仿宋_GB2312"/>
          <w:sz w:val="28"/>
          <w:szCs w:val="28"/>
        </w:rPr>
        <w:t>万，第</w:t>
      </w:r>
      <w:r>
        <w:rPr>
          <w:rFonts w:eastAsia="仿宋_GB2312" w:ascii="仿宋_GB2312" w:hAnsi="仿宋_GB2312"/>
          <w:sz w:val="28"/>
          <w:szCs w:val="28"/>
        </w:rPr>
        <w:t>2</w:t>
      </w:r>
      <w:r>
        <w:rPr>
          <w:rFonts w:ascii="仿宋_GB2312" w:hAnsi="仿宋_GB2312" w:eastAsia="仿宋_GB2312"/>
          <w:sz w:val="28"/>
          <w:szCs w:val="28"/>
        </w:rPr>
        <w:t>年为</w:t>
      </w:r>
      <w:r>
        <w:rPr>
          <w:rFonts w:eastAsia="仿宋_GB2312" w:ascii="仿宋_GB2312" w:hAnsi="仿宋_GB2312"/>
          <w:sz w:val="28"/>
          <w:szCs w:val="28"/>
        </w:rPr>
        <w:t>30</w:t>
      </w:r>
      <w:r>
        <w:rPr>
          <w:rFonts w:ascii="仿宋_GB2312" w:hAnsi="仿宋_GB2312" w:eastAsia="仿宋_GB2312"/>
          <w:sz w:val="28"/>
          <w:szCs w:val="28"/>
        </w:rPr>
        <w:t>万，第</w:t>
      </w:r>
      <w:r>
        <w:rPr>
          <w:rFonts w:eastAsia="仿宋_GB2312" w:ascii="仿宋_GB2312" w:hAnsi="仿宋_GB2312"/>
          <w:sz w:val="28"/>
          <w:szCs w:val="28"/>
        </w:rPr>
        <w:t>3</w:t>
      </w:r>
      <w:r>
        <w:rPr>
          <w:rFonts w:ascii="仿宋_GB2312" w:hAnsi="仿宋_GB2312" w:eastAsia="仿宋_GB2312"/>
          <w:sz w:val="28"/>
          <w:szCs w:val="28"/>
        </w:rPr>
        <w:t>年为</w:t>
      </w:r>
      <w:r>
        <w:rPr>
          <w:rFonts w:eastAsia="仿宋_GB2312" w:ascii="仿宋_GB2312" w:hAnsi="仿宋_GB2312"/>
          <w:sz w:val="28"/>
          <w:szCs w:val="28"/>
        </w:rPr>
        <w:t>60</w:t>
      </w:r>
      <w:r>
        <w:rPr>
          <w:rFonts w:ascii="仿宋_GB2312" w:hAnsi="仿宋_GB2312" w:eastAsia="仿宋_GB2312"/>
          <w:sz w:val="28"/>
          <w:szCs w:val="28"/>
        </w:rPr>
        <w:t>万，第</w:t>
      </w:r>
      <w:r>
        <w:rPr>
          <w:rFonts w:eastAsia="仿宋_GB2312" w:ascii="仿宋_GB2312" w:hAnsi="仿宋_GB2312"/>
          <w:sz w:val="28"/>
          <w:szCs w:val="28"/>
        </w:rPr>
        <w:t>4</w:t>
      </w:r>
      <w:r>
        <w:rPr>
          <w:rFonts w:ascii="仿宋_GB2312" w:hAnsi="仿宋_GB2312" w:eastAsia="仿宋_GB2312"/>
          <w:sz w:val="28"/>
          <w:szCs w:val="28"/>
        </w:rPr>
        <w:t>年为</w:t>
      </w:r>
      <w:r>
        <w:rPr>
          <w:rFonts w:eastAsia="仿宋_GB2312" w:ascii="仿宋_GB2312" w:hAnsi="仿宋_GB2312"/>
          <w:sz w:val="28"/>
          <w:szCs w:val="28"/>
        </w:rPr>
        <w:t>100</w:t>
      </w:r>
      <w:r>
        <w:rPr>
          <w:rFonts w:ascii="仿宋_GB2312" w:hAnsi="仿宋_GB2312" w:eastAsia="仿宋_GB2312"/>
          <w:sz w:val="28"/>
          <w:szCs w:val="28"/>
        </w:rPr>
        <w:t>万，第</w:t>
      </w:r>
      <w:r>
        <w:rPr>
          <w:rFonts w:eastAsia="仿宋_GB2312" w:ascii="仿宋_GB2312" w:hAnsi="仿宋_GB2312"/>
          <w:sz w:val="28"/>
          <w:szCs w:val="28"/>
        </w:rPr>
        <w:t>5</w:t>
      </w:r>
      <w:r>
        <w:rPr>
          <w:rFonts w:ascii="仿宋_GB2312" w:hAnsi="仿宋_GB2312" w:eastAsia="仿宋_GB2312"/>
          <w:sz w:val="28"/>
          <w:szCs w:val="28"/>
        </w:rPr>
        <w:t>年为</w:t>
      </w:r>
      <w:r>
        <w:rPr>
          <w:rFonts w:eastAsia="仿宋_GB2312" w:ascii="仿宋_GB2312" w:hAnsi="仿宋_GB2312"/>
          <w:sz w:val="28"/>
          <w:szCs w:val="28"/>
        </w:rPr>
        <w:t>150</w:t>
      </w:r>
      <w:r>
        <w:rPr>
          <w:rFonts w:ascii="仿宋_GB2312" w:hAnsi="仿宋_GB2312" w:eastAsia="仿宋_GB2312"/>
          <w:sz w:val="28"/>
          <w:szCs w:val="28"/>
        </w:rPr>
        <w:t>万；</w:t>
      </w:r>
    </w:p>
    <w:tbl>
      <w:tblPr>
        <w:tblStyle w:val="6"/>
        <w:tblW w:w="10402" w:type="dxa"/>
        <w:jc w:val="left"/>
        <w:tblInd w:w="-1045" w:type="dxa"/>
        <w:tblBorders>
          <w:top w:val="double" w:sz="6" w:space="0" w:color="000000"/>
          <w:left w:val="double" w:sz="6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583"/>
        <w:gridCol w:w="1416"/>
        <w:gridCol w:w="1562"/>
        <w:gridCol w:w="1276"/>
        <w:gridCol w:w="1559"/>
        <w:gridCol w:w="1199"/>
        <w:gridCol w:w="1806"/>
      </w:tblGrid>
      <w:tr>
        <w:trPr>
          <w:trHeight w:val="405" w:hRule="atLeast"/>
        </w:trPr>
        <w:tc>
          <w:tcPr>
            <w:tcW w:w="1583" w:type="dxa"/>
            <w:tcBorders>
              <w:top w:val="double" w:sz="6" w:space="0" w:color="000000"/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6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62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9" w:type="dxa"/>
            <w:tcBorders>
              <w:top w:val="doub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06" w:type="dxa"/>
            <w:tcBorders>
              <w:top w:val="double" w:sz="6" w:space="0" w:color="000000"/>
              <w:left w:val="double" w:sz="6" w:space="0" w:color="000000"/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06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06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汇总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06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06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06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936360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06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06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06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06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06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2400000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06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06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折现收益</w:t>
            </w: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-</w:t>
            </w: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06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1463640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累计收益</w:t>
            </w: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-</w:t>
            </w: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06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06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06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06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single" w:sz="8" w:space="0" w:color="000000"/>
              <w:insideH w:val="double" w:sz="6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6" w:type="dxa"/>
            <w:tcBorders>
              <w:top w:val="double" w:sz="6" w:space="0" w:color="000000"/>
              <w:left w:val="single" w:sz="8" w:space="0" w:color="000000"/>
              <w:bottom w:val="double" w:sz="6" w:space="0" w:color="000000"/>
              <w:right w:val="single" w:sz="8" w:space="0" w:color="000000"/>
              <w:insideH w:val="double" w:sz="6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第</w:t>
            </w: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3</w:t>
            </w: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62" w:type="dxa"/>
            <w:tcBorders>
              <w:top w:val="double" w:sz="6" w:space="0" w:color="000000"/>
              <w:left w:val="single" w:sz="8" w:space="0" w:color="000000"/>
              <w:bottom w:val="double" w:sz="6" w:space="0" w:color="000000"/>
              <w:right w:val="single" w:sz="8" w:space="0" w:color="000000"/>
              <w:insideH w:val="double" w:sz="6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sz="6" w:space="0" w:color="000000"/>
              <w:left w:val="single" w:sz="8" w:space="0" w:color="000000"/>
              <w:bottom w:val="double" w:sz="6" w:space="0" w:color="000000"/>
              <w:right w:val="single" w:sz="8" w:space="0" w:color="000000"/>
              <w:insideH w:val="double" w:sz="6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sz="6" w:space="0" w:color="000000"/>
              <w:left w:val="single" w:sz="8" w:space="0" w:color="000000"/>
              <w:bottom w:val="double" w:sz="6" w:space="0" w:color="000000"/>
              <w:right w:val="single" w:sz="8" w:space="0" w:color="000000"/>
              <w:insideH w:val="double" w:sz="6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9" w:type="dxa"/>
            <w:tcBorders>
              <w:top w:val="double" w:sz="6" w:space="0" w:color="000000"/>
              <w:left w:val="single" w:sz="8" w:space="0" w:color="000000"/>
              <w:bottom w:val="double" w:sz="6" w:space="0" w:color="000000"/>
              <w:right w:val="single" w:sz="8" w:space="0" w:color="000000"/>
              <w:insideH w:val="double" w:sz="6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06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Cambria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宋体">
    <w:charset w:val="86"/>
    <w:family w:val="roman"/>
    <w:pitch w:val="variable"/>
  </w:font>
  <w:font w:name="仿宋_GB2312">
    <w:charset w:val="86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next w:val="Normal"/>
    <w:link w:val="8"/>
    <w:uiPriority w:val="9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2"/>
    <w:uiPriority w:val="9"/>
    <w:qFormat/>
    <w:rPr>
      <w:b/>
      <w:bCs/>
      <w:kern w:val="2"/>
      <w:sz w:val="44"/>
      <w:szCs w:val="44"/>
    </w:rPr>
  </w:style>
  <w:style w:type="character" w:styleId="Char" w:customStyle="1">
    <w:name w:val="副标题 Char"/>
    <w:basedOn w:val="DefaultParagraphFont"/>
    <w:link w:val="3"/>
    <w:uiPriority w:val="11"/>
    <w:qFormat/>
    <w:rPr>
      <w:rFonts w:ascii="Cambria" w:hAnsi="Cambria" w:eastAsia="宋体" w:cs="宋体" w:asciiTheme="majorHAnsi" w:cstheme="majorBidi" w:hAnsiTheme="majorHAnsi"/>
      <w:b/>
      <w:bCs/>
      <w:kern w:val="2"/>
      <w:sz w:val="32"/>
      <w:szCs w:val="32"/>
    </w:rPr>
  </w:style>
  <w:style w:type="character" w:styleId="Char1" w:customStyle="1">
    <w:name w:val="标题 Char"/>
    <w:basedOn w:val="DefaultParagraphFont"/>
    <w:link w:val="4"/>
    <w:uiPriority w:val="10"/>
    <w:qFormat/>
    <w:rPr>
      <w:rFonts w:ascii="Cambria" w:hAnsi="Cambria" w:eastAsia="宋体" w:cs="宋体" w:asciiTheme="majorHAnsi" w:cstheme="majorBidi" w:hAnsiTheme="majorHAnsi"/>
      <w:b/>
      <w:bCs/>
      <w:sz w:val="32"/>
      <w:szCs w:val="32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Lucida Sans"/>
    </w:rPr>
  </w:style>
  <w:style w:type="paragraph" w:styleId="Style18">
    <w:name w:val="Subtitle"/>
    <w:basedOn w:val="Normal"/>
    <w:next w:val="Normal"/>
    <w:link w:val="9"/>
    <w:uiPriority w:val="11"/>
    <w:qFormat/>
    <w:pPr>
      <w:spacing w:lineRule="auto" w:line="312" w:before="240" w:after="60"/>
      <w:jc w:val="center"/>
      <w:outlineLvl w:val="1"/>
    </w:pPr>
    <w:rPr>
      <w:rFonts w:ascii="Cambria" w:hAnsi="Cambria" w:eastAsia="宋体" w:cs="宋体" w:asciiTheme="majorHAnsi" w:cstheme="majorBidi" w:hAnsiTheme="majorHAnsi"/>
      <w:b/>
      <w:bCs/>
      <w:kern w:val="2"/>
      <w:sz w:val="32"/>
      <w:szCs w:val="32"/>
    </w:rPr>
  </w:style>
  <w:style w:type="paragraph" w:styleId="Style19">
    <w:name w:val="Title"/>
    <w:basedOn w:val="Normal"/>
    <w:next w:val="Normal"/>
    <w:link w:val="10"/>
    <w:uiPriority w:val="10"/>
    <w:qFormat/>
    <w:pPr>
      <w:spacing w:before="240" w:after="60"/>
      <w:jc w:val="center"/>
      <w:outlineLvl w:val="0"/>
    </w:pPr>
    <w:rPr>
      <w:rFonts w:ascii="Cambria" w:hAnsi="Cambria" w:eastAsia="宋体" w:cs="宋体" w:asciiTheme="majorHAnsi" w:cstheme="majorBidi" w:hAnsiTheme="majorHAns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table" w:default="1" w:styleId="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LibreOffice/6.1.2.1$Windows_X86_64 LibreOffice_project/65905a128db06ba48db947242809d14d3f9a93fe</Application>
  <Pages>5</Pages>
  <Words>1358</Words>
  <Characters>1677</Characters>
  <CharactersWithSpaces>1740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dc:description/>
  <dc:language>zh-CN</dc:language>
  <cp:lastModifiedBy/>
  <dcterms:modified xsi:type="dcterms:W3CDTF">2019-03-15T11:10:22Z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2052-11.1.0.8214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