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409C" w:rsidP="009F00DA">
      <w:pPr>
        <w:pStyle w:val="a3"/>
      </w:pPr>
      <w:r>
        <w:rPr>
          <w:rFonts w:hint="eastAsia"/>
        </w:rPr>
        <w:t>垃圾短信识别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F409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垃圾短信识别的正确率不高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F409C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模型的泛化能力不够好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9F409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F409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9F409C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对模型进行优化，对数据进行进一步处理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F409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界面出现错误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F409C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界面实现的代码错误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F409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F409C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梁梦爽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9F409C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对界面进行重新编码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409C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48FD"/>
  <w15:docId w15:val="{07DC838E-E6CA-4A1D-9E8D-07EAF94C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lixiaodan</cp:lastModifiedBy>
  <cp:revision>6</cp:revision>
  <dcterms:created xsi:type="dcterms:W3CDTF">2012-09-20T02:46:00Z</dcterms:created>
  <dcterms:modified xsi:type="dcterms:W3CDTF">2019-05-04T14:21:00Z</dcterms:modified>
</cp:coreProperties>
</file>