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60"/>
        <w:jc w:val="center"/>
      </w:pPr>
      <w:r>
        <w:rPr>
          <w:rFonts w:ascii="Arial" w:hAnsi="Arial" w:eastAsia="微软雅黑"/>
          <w:b/>
          <w:color w:val="000000"/>
          <w:sz w:val="40"/>
        </w:rPr>
        <w:t>P05 KNb组合创新终止决策汇报</w:t>
      </w:r>
    </w:p>
    <w:p>
      <w:pPr>
        <w:spacing w:after="320"/>
        <w:jc w:val="center"/>
      </w:pPr>
      <w:r>
        <w:rPr>
          <w:rFonts w:ascii="Arial" w:hAnsi="Arial" w:eastAsia="微软雅黑"/>
          <w:b w:val="0"/>
          <w:color w:val="595959"/>
          <w:sz w:val="20"/>
        </w:rPr>
        <w:t>导师组会研究决策汇报  2026年9月9日</w:t>
      </w:r>
    </w:p>
    <w:p>
      <w:pPr>
        <w:spacing w:after="240" w:line="312" w:lineRule="auto"/>
      </w:pPr>
      <w:r>
        <w:rPr>
          <w:rFonts w:ascii="Arial" w:hAnsi="Arial" w:eastAsia="微软雅黑"/>
          <w:b/>
          <w:color w:val="000000"/>
          <w:sz w:val="23"/>
        </w:rPr>
        <w:t>结论：终止当前自适应KNb联合组合创新点。固定K50保留为简单开发策略，K×b仅作为未验证线索归档，不再开发第五版联合Q，不追加K×b实验，不打开保留数据。</w:t>
      </w:r>
    </w:p>
    <w:p>
      <w:pPr>
        <w:pStyle w:val="Heading1"/>
        <w:keepNext/>
        <w:spacing w:before="200" w:after="100"/>
      </w:pPr>
      <w:r>
        <w:rPr>
          <w:rFonts w:ascii="Arial" w:hAnsi="Arial" w:eastAsia="微软雅黑"/>
          <w:b/>
          <w:color w:val="000000"/>
          <w:sz w:val="28"/>
        </w:rPr>
        <w:t>一 当前核心问题 组合收益不足以抵偿复杂度</w:t>
      </w:r>
    </w:p>
    <w:p>
      <w:pPr>
        <w:spacing w:after="100" w:line="300" w:lineRule="auto"/>
        <w:ind w:firstLine="420"/>
      </w:pPr>
      <w:r>
        <w:rPr>
          <w:rFonts w:ascii="Arial" w:hAnsi="Arial" w:eastAsia="微软雅黑"/>
          <w:b w:val="0"/>
          <w:color w:val="000000"/>
          <w:sz w:val="21"/>
        </w:rPr>
        <w:t>当前需要判断的不是如何继续调参，而是自适应联合选择K、N和b带来的收益，是否足以抵偿状态设计、Q学习和多模块耦合产生的复杂度。第三轮与第四轮证据共同表明，当前组合没有超过固定K50+N3+b4，因此不值得继续投入。</w:t>
      </w:r>
    </w:p>
    <w:p>
      <w:pPr>
        <w:pStyle w:val="Heading1"/>
        <w:keepNext/>
        <w:spacing w:before="200" w:after="100"/>
      </w:pPr>
      <w:r>
        <w:rPr>
          <w:rFonts w:ascii="Arial" w:hAnsi="Arial" w:eastAsia="微软雅黑"/>
          <w:b/>
          <w:color w:val="000000"/>
          <w:sz w:val="28"/>
        </w:rPr>
        <w:t>二 我目前的判断 终止当前KNb联合组合路线</w:t>
      </w:r>
    </w:p>
    <w:p>
      <w:pPr>
        <w:pStyle w:val="ListBullet"/>
        <w:spacing w:after="60" w:line="288" w:lineRule="auto"/>
        <w:ind w:left="397" w:hanging="198"/>
      </w:pPr>
      <w:r>
        <w:rPr>
          <w:rFonts w:ascii="Arial" w:hAnsi="Arial" w:eastAsia="微软雅黑"/>
          <w:b w:val="0"/>
          <w:color w:val="000000"/>
          <w:sz w:val="21"/>
        </w:rPr>
        <w:t>【已验证事实】固定K50相对K25的HV增益为+0.017461，6个实例中4个为正，95%区间为[0.004835, 0.030065]。</w:t>
      </w:r>
    </w:p>
    <w:p>
      <w:pPr>
        <w:pStyle w:val="ListBullet"/>
        <w:spacing w:after="60" w:line="288" w:lineRule="auto"/>
        <w:ind w:left="397" w:hanging="198"/>
      </w:pPr>
      <w:r>
        <w:rPr>
          <w:rFonts w:ascii="Arial" w:hAnsi="Arial" w:eastAsia="微软雅黑"/>
          <w:b w:val="0"/>
          <w:color w:val="000000"/>
          <w:sz w:val="21"/>
        </w:rPr>
        <w:t>【已验证事实】K50同时减少越界、重复和零解码，并提高真实评价率与单位解码收益，不只是依靠增加解码次数。</w:t>
      </w:r>
    </w:p>
    <w:p>
      <w:pPr>
        <w:pStyle w:val="ListBullet"/>
        <w:spacing w:after="60" w:line="288" w:lineRule="auto"/>
        <w:ind w:left="397" w:hanging="198"/>
      </w:pPr>
      <w:r>
        <w:rPr>
          <w:rFonts w:ascii="Arial" w:hAnsi="Arial" w:eastAsia="微软雅黑"/>
          <w:b w:val="0"/>
          <w:color w:val="000000"/>
          <w:sz w:val="21"/>
        </w:rPr>
        <w:t>【已验证事实】开启N模块后，两组比较的越界率分别增加0.115216和0.100735，均为6/6实例上升。</w:t>
      </w:r>
    </w:p>
    <w:p>
      <w:pPr>
        <w:pStyle w:val="ListBullet"/>
        <w:spacing w:after="60" w:line="288" w:lineRule="auto"/>
        <w:ind w:left="397" w:hanging="198"/>
      </w:pPr>
      <w:r>
        <w:rPr>
          <w:rFonts w:ascii="Arial" w:hAnsi="Arial" w:eastAsia="微软雅黑"/>
          <w:b w:val="0"/>
          <w:color w:val="000000"/>
          <w:sz w:val="21"/>
        </w:rPr>
        <w:t>【已验证事实】Q控制器零解码率为76%至88%，K50选择率仅1%至7%，没有学到最明显的固定K50优势。</w:t>
      </w:r>
    </w:p>
    <w:p>
      <w:pPr>
        <w:pStyle w:val="ListBullet"/>
        <w:spacing w:after="60" w:line="288" w:lineRule="auto"/>
        <w:ind w:left="397" w:hanging="198"/>
      </w:pPr>
      <w:r>
        <w:rPr>
          <w:rFonts w:ascii="Arial" w:hAnsi="Arial" w:eastAsia="微软雅黑"/>
          <w:b w:val="0"/>
          <w:color w:val="000000"/>
          <w:sz w:val="21"/>
        </w:rPr>
        <w:t>【尚未验证】现有K×b正交互是否代表真正的K50与增量预算协同。实际决策中K50仅占1.32%，b4占98.75%。</w:t>
      </w:r>
    </w:p>
    <w:p>
      <w:pPr>
        <w:pStyle w:val="Heading1"/>
        <w:keepNext/>
        <w:spacing w:before="200" w:after="100"/>
      </w:pPr>
      <w:r>
        <w:rPr>
          <w:rFonts w:ascii="Arial" w:hAnsi="Arial" w:eastAsia="微软雅黑"/>
          <w:b/>
          <w:color w:val="000000"/>
          <w:sz w:val="28"/>
        </w:rPr>
        <w:t>三 方案比较 简单策略明显优于继续修补组合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192"/>
        <w:gridCol w:w="3192"/>
        <w:gridCol w:w="3192"/>
      </w:tblGrid>
      <w:tr>
        <w:tc>
          <w:tcPr>
            <w:tcW w:type="dxa" w:w="2381"/>
            <w:vAlign w:val="center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方案</w:t>
            </w:r>
          </w:p>
        </w:tc>
        <w:tc>
          <w:tcPr>
            <w:tcW w:type="dxa" w:w="1474"/>
            <w:vAlign w:val="center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裁决</w:t>
            </w:r>
          </w:p>
        </w:tc>
        <w:tc>
          <w:tcPr>
            <w:tcW w:type="dxa" w:w="5102"/>
            <w:vAlign w:val="center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主要依据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微软雅黑"/>
                <w:b w:val="0"/>
                <w:color w:val="000000"/>
                <w:sz w:val="18"/>
              </w:rPr>
              <w:t>继续修补联合Q</w:t>
            </w:r>
          </w:p>
        </w:tc>
        <w:tc>
          <w:tcPr>
            <w:tcW w:type="dxa" w:w="14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微软雅黑"/>
                <w:b w:val="0"/>
                <w:color w:val="000000"/>
                <w:sz w:val="18"/>
              </w:rPr>
              <w:t>终止</w:t>
            </w:r>
          </w:p>
        </w:tc>
        <w:tc>
          <w:tcPr>
            <w:tcW w:type="dxa" w:w="51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微软雅黑"/>
                <w:b w:val="0"/>
                <w:color w:val="000000"/>
                <w:sz w:val="18"/>
              </w:rPr>
              <w:t>复杂度高，完整111仍低于固定K50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微软雅黑"/>
                <w:b w:val="0"/>
                <w:color w:val="000000"/>
                <w:sz w:val="18"/>
              </w:rPr>
              <w:t>补做K×b实验</w:t>
            </w:r>
          </w:p>
        </w:tc>
        <w:tc>
          <w:tcPr>
            <w:tcW w:type="dxa" w:w="14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微软雅黑"/>
                <w:b w:val="0"/>
                <w:color w:val="000000"/>
                <w:sz w:val="18"/>
              </w:rPr>
              <w:t>不执行</w:t>
            </w:r>
          </w:p>
        </w:tc>
        <w:tc>
          <w:tcPr>
            <w:tcW w:type="dxa" w:w="51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微软雅黑"/>
                <w:b w:val="0"/>
                <w:color w:val="000000"/>
                <w:sz w:val="18"/>
              </w:rPr>
              <w:t>只能验证窄线索，不能挽救当前组合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微软雅黑"/>
                <w:b w:val="0"/>
                <w:color w:val="000000"/>
                <w:sz w:val="18"/>
              </w:rPr>
              <w:t>保留K50+N3+b4</w:t>
            </w:r>
          </w:p>
        </w:tc>
        <w:tc>
          <w:tcPr>
            <w:tcW w:type="dxa" w:w="14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微软雅黑"/>
                <w:b w:val="0"/>
                <w:color w:val="000000"/>
                <w:sz w:val="18"/>
              </w:rPr>
              <w:t>保留</w:t>
            </w:r>
          </w:p>
        </w:tc>
        <w:tc>
          <w:tcPr>
            <w:tcW w:type="dxa" w:w="51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微软雅黑"/>
                <w:b w:val="0"/>
                <w:color w:val="000000"/>
                <w:sz w:val="18"/>
              </w:rPr>
              <w:t>简单且已有开发数据支持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微软雅黑"/>
                <w:b w:val="0"/>
                <w:color w:val="000000"/>
                <w:sz w:val="18"/>
              </w:rPr>
              <w:t>寻找独立创新点</w:t>
            </w:r>
          </w:p>
        </w:tc>
        <w:tc>
          <w:tcPr>
            <w:tcW w:type="dxa" w:w="14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微软雅黑"/>
                <w:b w:val="0"/>
                <w:color w:val="000000"/>
                <w:sz w:val="18"/>
              </w:rPr>
              <w:t>后续方向</w:t>
            </w:r>
          </w:p>
        </w:tc>
        <w:tc>
          <w:tcPr>
            <w:tcW w:type="dxa" w:w="51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微软雅黑"/>
                <w:b w:val="0"/>
                <w:color w:val="000000"/>
                <w:sz w:val="18"/>
              </w:rPr>
              <w:t>须重新定义主张、强对照和停止规则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00" w:after="100"/>
      </w:pPr>
      <w:r>
        <w:rPr>
          <w:rFonts w:ascii="Arial" w:hAnsi="Arial" w:eastAsia="微软雅黑"/>
          <w:b/>
          <w:color w:val="000000"/>
          <w:sz w:val="28"/>
        </w:rPr>
        <w:t>四 我的倾向与决策依据 停止追加投入</w:t>
      </w:r>
    </w:p>
    <w:p>
      <w:pPr>
        <w:spacing w:after="100" w:line="300" w:lineRule="auto"/>
        <w:ind w:firstLine="420"/>
      </w:pPr>
      <w:r>
        <w:rPr>
          <w:rFonts w:ascii="Arial" w:hAnsi="Arial" w:eastAsia="微软雅黑"/>
          <w:b w:val="0"/>
          <w:color w:val="000000"/>
          <w:sz w:val="21"/>
        </w:rPr>
        <w:t>我的正式决策是终止KNb组合创新点。这个判断不是由一次负结果决定，而是来自连续证据链：N和b单项未通过，联合111未超过固定K50，Q没有学到K50优势，第四轮又确认组合带来较多无效候选、回退和稀少反馈。即使K×b线索最终成立，也只能支持较窄的交互机制，不能证明当前联合控制器合理。</w:t>
      </w:r>
    </w:p>
    <w:p>
      <w:pPr>
        <w:pStyle w:val="Heading1"/>
        <w:keepNext/>
        <w:spacing w:before="200" w:after="100"/>
      </w:pPr>
      <w:r>
        <w:rPr>
          <w:rFonts w:ascii="Arial" w:hAnsi="Arial" w:eastAsia="微软雅黑"/>
          <w:b/>
          <w:color w:val="000000"/>
          <w:sz w:val="28"/>
        </w:rPr>
        <w:t>五 本周验证结果 失败原因已经收敛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192"/>
        <w:gridCol w:w="3192"/>
        <w:gridCol w:w="3192"/>
      </w:tblGrid>
      <w:tr>
        <w:tc>
          <w:tcPr>
            <w:tcW w:type="dxa" w:w="2438"/>
            <w:vAlign w:val="center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验证命题</w:t>
            </w:r>
          </w:p>
        </w:tc>
        <w:tc>
          <w:tcPr>
            <w:tcW w:type="dxa" w:w="4195"/>
            <w:vAlign w:val="center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实际结果</w:t>
            </w:r>
          </w:p>
        </w:tc>
        <w:tc>
          <w:tcPr>
            <w:tcW w:type="dxa" w:w="2324"/>
            <w:vAlign w:val="center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决策影响</w:t>
            </w:r>
          </w:p>
        </w:tc>
      </w:tr>
      <w:tr>
        <w:tc>
          <w:tcPr>
            <w:tcW w:type="dxa" w:w="243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微软雅黑"/>
                <w:b w:val="0"/>
                <w:color w:val="000000"/>
                <w:sz w:val="18"/>
              </w:rPr>
              <w:t>K50为何更强</w:t>
            </w:r>
          </w:p>
        </w:tc>
        <w:tc>
          <w:tcPr>
            <w:tcW w:type="dxa" w:w="419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微软雅黑"/>
                <w:b w:val="0"/>
                <w:color w:val="000000"/>
                <w:sz w:val="18"/>
              </w:rPr>
              <w:t>HV +0.017461；评价率和单位收益同步提高</w:t>
            </w:r>
          </w:p>
        </w:tc>
        <w:tc>
          <w:tcPr>
            <w:tcW w:type="dxa" w:w="2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微软雅黑"/>
                <w:b w:val="0"/>
                <w:color w:val="000000"/>
                <w:sz w:val="18"/>
              </w:rPr>
              <w:t>保留固定K50</w:t>
            </w:r>
          </w:p>
        </w:tc>
      </w:tr>
      <w:tr>
        <w:tc>
          <w:tcPr>
            <w:tcW w:type="dxa" w:w="243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微软雅黑"/>
                <w:b w:val="0"/>
                <w:color w:val="000000"/>
                <w:sz w:val="18"/>
              </w:rPr>
              <w:t>K×b是否为纯机制</w:t>
            </w:r>
          </w:p>
        </w:tc>
        <w:tc>
          <w:tcPr>
            <w:tcW w:type="dxa" w:w="419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微软雅黑"/>
                <w:b w:val="0"/>
                <w:color w:val="000000"/>
                <w:sz w:val="18"/>
              </w:rPr>
              <w:t>K50仅1.32%，b4为98.75%</w:t>
            </w:r>
          </w:p>
        </w:tc>
        <w:tc>
          <w:tcPr>
            <w:tcW w:type="dxa" w:w="2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微软雅黑"/>
                <w:b w:val="0"/>
                <w:color w:val="000000"/>
                <w:sz w:val="18"/>
              </w:rPr>
              <w:t>仅归档为模块耦合</w:t>
            </w:r>
          </w:p>
        </w:tc>
      </w:tr>
      <w:tr>
        <w:tc>
          <w:tcPr>
            <w:tcW w:type="dxa" w:w="243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微软雅黑"/>
                <w:b w:val="0"/>
                <w:color w:val="000000"/>
                <w:sz w:val="18"/>
              </w:rPr>
              <w:t>N模块是否有增益</w:t>
            </w:r>
          </w:p>
        </w:tc>
        <w:tc>
          <w:tcPr>
            <w:tcW w:type="dxa" w:w="419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微软雅黑"/>
                <w:b w:val="0"/>
                <w:color w:val="000000"/>
                <w:sz w:val="18"/>
              </w:rPr>
              <w:t>越界率增加0.101至0.115，6/6同向</w:t>
            </w:r>
          </w:p>
        </w:tc>
        <w:tc>
          <w:tcPr>
            <w:tcW w:type="dxa" w:w="2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微软雅黑"/>
                <w:b w:val="0"/>
                <w:color w:val="000000"/>
                <w:sz w:val="18"/>
              </w:rPr>
              <w:t>终止当前N控制</w:t>
            </w:r>
          </w:p>
        </w:tc>
      </w:tr>
      <w:tr>
        <w:tc>
          <w:tcPr>
            <w:tcW w:type="dxa" w:w="243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微软雅黑"/>
                <w:b w:val="0"/>
                <w:color w:val="000000"/>
                <w:sz w:val="18"/>
              </w:rPr>
              <w:t>Q为何未学到K50</w:t>
            </w:r>
          </w:p>
        </w:tc>
        <w:tc>
          <w:tcPr>
            <w:tcW w:type="dxa" w:w="419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微软雅黑"/>
                <w:b w:val="0"/>
                <w:color w:val="000000"/>
                <w:sz w:val="18"/>
              </w:rPr>
              <w:t>零解码76%至88%；K50仅1%至7%</w:t>
            </w:r>
          </w:p>
        </w:tc>
        <w:tc>
          <w:tcPr>
            <w:tcW w:type="dxa" w:w="2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微软雅黑"/>
                <w:b w:val="0"/>
                <w:color w:val="000000"/>
                <w:sz w:val="18"/>
              </w:rPr>
              <w:t>终止当前状态和Q组合</w:t>
            </w:r>
          </w:p>
        </w:tc>
      </w:tr>
    </w:tbl>
    <w:p>
      <w:pPr>
        <w:spacing w:after="20"/>
      </w:pPr>
    </w:p>
    <w:p>
      <w:pPr>
        <w:spacing w:after="100" w:line="300" w:lineRule="auto"/>
      </w:pPr>
      <w:r>
        <w:rPr>
          <w:rFonts w:ascii="Arial" w:hAnsi="Arial" w:eastAsia="微软雅黑"/>
          <w:b w:val="0"/>
          <w:color w:val="000000"/>
          <w:sz w:val="21"/>
        </w:rPr>
        <w:t>证据范围仅限第三轮正式开发数据K-v1和interaction-v2。第四轮没有新增真实完整解码，没有读取保留数据。动作后的分邻域收益和Q轨迹统计属于描述性归因，不能单独证明唯一因果。</w:t>
      </w:r>
    </w:p>
    <w:p>
      <w:pPr>
        <w:pStyle w:val="Heading1"/>
        <w:keepNext/>
        <w:spacing w:before="200" w:after="100"/>
      </w:pPr>
      <w:r>
        <w:rPr>
          <w:rFonts w:ascii="Arial" w:hAnsi="Arial" w:eastAsia="微软雅黑"/>
          <w:b/>
          <w:color w:val="000000"/>
          <w:sz w:val="28"/>
        </w:rPr>
        <w:t>六 当前卡点 已从组合调优转为新方向选择</w:t>
      </w:r>
    </w:p>
    <w:p>
      <w:pPr>
        <w:spacing w:after="100" w:line="300" w:lineRule="auto"/>
        <w:ind w:firstLine="420"/>
      </w:pPr>
      <w:r>
        <w:rPr>
          <w:rFonts w:ascii="Arial" w:hAnsi="Arial" w:eastAsia="微软雅黑"/>
          <w:b w:val="0"/>
          <w:color w:val="000000"/>
          <w:sz w:val="21"/>
        </w:rPr>
        <w:t>当前卡点不再是怎样修好联合Q，而是下一项论文创新尚未确定。后续不能通过更换状态、奖励或动作名称把KNb路线重新包装；新的研究方向必须与已终止组合存在实质机制差异，并重新冻结研究主张、强对照、实验协议和停止规则。</w:t>
      </w:r>
    </w:p>
    <w:p>
      <w:pPr>
        <w:pStyle w:val="Heading1"/>
        <w:keepNext/>
        <w:spacing w:before="200" w:after="100"/>
      </w:pPr>
      <w:r>
        <w:rPr>
          <w:rFonts w:ascii="Arial" w:hAnsi="Arial" w:eastAsia="微软雅黑"/>
          <w:b/>
          <w:color w:val="000000"/>
          <w:sz w:val="28"/>
        </w:rPr>
        <w:t>七 下一步行动 归档证据并重新立项</w:t>
      </w:r>
    </w:p>
    <w:p>
      <w:pPr>
        <w:pStyle w:val="ListBullet"/>
        <w:spacing w:after="60" w:line="288" w:lineRule="auto"/>
        <w:ind w:left="397" w:hanging="198"/>
      </w:pPr>
      <w:r>
        <w:rPr>
          <w:rFonts w:ascii="Arial" w:hAnsi="Arial" w:eastAsia="微软雅黑"/>
          <w:b w:val="0"/>
          <w:color w:val="000000"/>
          <w:sz w:val="21"/>
        </w:rPr>
        <w:t>完整保留失败实验、协议、原始结果和诊断报告，避免重复试错。</w:t>
      </w:r>
    </w:p>
    <w:p>
      <w:pPr>
        <w:pStyle w:val="ListBullet"/>
        <w:spacing w:after="60" w:line="288" w:lineRule="auto"/>
        <w:ind w:left="397" w:hanging="198"/>
      </w:pPr>
      <w:r>
        <w:rPr>
          <w:rFonts w:ascii="Arial" w:hAnsi="Arial" w:eastAsia="微软雅黑"/>
          <w:b w:val="0"/>
          <w:color w:val="000000"/>
          <w:sz w:val="21"/>
        </w:rPr>
        <w:t>将固定K50+N3+b4保留为简单策略和后续强对照，不把它单独包装为论文创新。</w:t>
      </w:r>
    </w:p>
    <w:p>
      <w:pPr>
        <w:pStyle w:val="ListBullet"/>
        <w:spacing w:after="60" w:line="288" w:lineRule="auto"/>
        <w:ind w:left="397" w:hanging="198"/>
      </w:pPr>
      <w:r>
        <w:rPr>
          <w:rFonts w:ascii="Arial" w:hAnsi="Arial" w:eastAsia="微软雅黑"/>
          <w:b w:val="0"/>
          <w:color w:val="000000"/>
          <w:sz w:val="21"/>
        </w:rPr>
        <w:t>停止第五版联合Q、K×b追加实验和保留集确认。</w:t>
      </w:r>
    </w:p>
    <w:p>
      <w:pPr>
        <w:pStyle w:val="ListBullet"/>
        <w:spacing w:after="60" w:line="288" w:lineRule="auto"/>
        <w:ind w:left="397" w:hanging="198"/>
      </w:pPr>
      <w:r>
        <w:rPr>
          <w:rFonts w:ascii="Arial" w:hAnsi="Arial" w:eastAsia="微软雅黑"/>
          <w:b w:val="0"/>
          <w:color w:val="000000"/>
          <w:sz w:val="21"/>
        </w:rPr>
        <w:t>下一项创新作为独立研究决策重新立项，预先明确成功标准和停止规则。</w:t>
      </w:r>
    </w:p>
    <w:p>
      <w:pPr>
        <w:pStyle w:val="Heading1"/>
        <w:keepNext/>
        <w:spacing w:before="200" w:after="100"/>
      </w:pPr>
      <w:r>
        <w:rPr>
          <w:rFonts w:ascii="Arial" w:hAnsi="Arial" w:eastAsia="微软雅黑"/>
          <w:b/>
          <w:color w:val="000000"/>
          <w:sz w:val="28"/>
        </w:rPr>
        <w:t>八 需要导师判断的问题 是否同意转向独立新机制</w:t>
      </w:r>
    </w:p>
    <w:p>
      <w:pPr>
        <w:spacing w:after="100" w:line="300" w:lineRule="auto"/>
        <w:ind w:firstLine="420"/>
      </w:pPr>
      <w:r>
        <w:rPr>
          <w:rFonts w:ascii="Arial" w:hAnsi="Arial" w:eastAsia="微软雅黑"/>
          <w:b w:val="0"/>
          <w:color w:val="000000"/>
          <w:sz w:val="21"/>
        </w:rPr>
        <w:t>关于后续资源配置，现有两条路线：继续围绕KNb修补，或接受固定K50为简单对照并转向独立新机制。我倾向第二条，因为当前组合复杂度没有形成相称收益，继续修补存在明显沉没成本风险。希望老师判断：是否同意正式关闭KNb联合创新路线，将研究资源转向一个与其机制实质不同的新方向？</w:t>
      </w:r>
    </w:p>
    <w:p>
      <w:r>
        <w:br w:type="page"/>
      </w:r>
    </w:p>
    <w:p>
      <w:pPr>
        <w:pStyle w:val="Heading1"/>
        <w:keepNext/>
        <w:spacing w:before="200" w:after="100"/>
      </w:pPr>
      <w:r>
        <w:rPr>
          <w:rFonts w:ascii="Arial" w:hAnsi="Arial" w:eastAsia="微软雅黑"/>
          <w:b/>
          <w:color w:val="000000"/>
          <w:sz w:val="28"/>
        </w:rPr>
        <w:t>附 3分钟口头汇报稿</w:t>
      </w:r>
    </w:p>
    <w:p>
      <w:pPr>
        <w:spacing w:after="0" w:line="300" w:lineRule="auto"/>
        <w:ind w:firstLine="420"/>
      </w:pPr>
      <w:r>
        <w:rPr>
          <w:rFonts w:ascii="Arial" w:hAnsi="Arial" w:eastAsia="微软雅黑"/>
          <w:b w:val="0"/>
          <w:color w:val="000000"/>
          <w:sz w:val="21"/>
        </w:rPr>
        <w:t>本周需要汇报的核心问题，是自适应联合选择K、N和b的组合创新是否值得继续。我的判断是终止当前KNb联合组合路线，不再开发第五版联合Q，也不再追加K×b实验。这个决定不是因为单次实验失败。第三轮中，联合111虽然比旧的固定K25策略有所改善，但仍明显低于简单的K50+N3+b4。第四轮进一步解释了原因。固定K50相对K25的HV增益为0.017461，区间不跨零，而且它不仅增加了少量真实解码，还同时降低越界、重复和零解码，提高了单位解码收益。因此K50的优势是结构性的，不只是预算更多。相反，N模块开启后，两组比较的越界率都增加约0.10到0.12，并且6个实例全部同方向。Q控制器也没有学到最明显的K50优势：零解码率为76%到88%，K50选择率只有1%到7%，状态访问高度集中。之前观察到的K×b正交互也不能解释成真正的K50与增量预算协同，因为实际决策中K50只占约1.3%，b4占约98.7%。因此，继续修补状态、奖励或Q表的成本较高，却没有证据表明能超过固定策略。我的处理是保留固定K50+N3+b4作为简单策略和后续强对照，把K×b作为未验证线索归档，不写成论文贡献，也不打开保留数据。下一阶段需要重新选择一个与KNb联合控制实质不同的创新方向。希望老师判断：是否接受终止该组合路线，把研究资源转向新的独立机制。</w:t>
      </w:r>
    </w:p>
    <w:sectPr w:rsidR="00FC693F" w:rsidRPr="0006063C" w:rsidSect="00034616">
      <w:pgSz w:w="12240" w:h="15840"/>
      <w:pgMar w:top="1247" w:right="1332" w:bottom="1134" w:left="133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微软雅黑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eastAsia="微软雅黑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P05 KNb组合创新终止决策汇报</dc:title>
  <dc:subject>导师组会研究决策汇报</dc:subject>
  <dc:creator/>
  <cp:keywords>P05, KNb, 组会汇报, 研究决策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