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olor w:val="1A1A2E"/>
          <w:sz w:val="72"/>
          <w:szCs w:val="72"/>
        </w:rPr>
        <w:t xml:space="preserve">IntegrityDesk</w:t>
      </w:r>
    </w:p>
    <w:p>
      <w:pPr>
        <w:spacing w:after="60" w:before="0"/>
        <w:jc w:val="center"/>
      </w:pPr>
      <w:r>
        <w:rPr>
          <w:rFonts w:ascii="Arial" w:cs="Arial" w:eastAsia="Arial" w:hAnsi="Arial"/>
          <w:color w:val="2E5BBA"/>
          <w:sz w:val="32"/>
          <w:szCs w:val="32"/>
        </w:rPr>
        <w:t xml:space="preserve">Academic Integrity Decision System</w:t>
      </w:r>
    </w:p>
    <w:p>
      <w:pPr>
        <w:spacing w:after="480" w:before="0"/>
        <w:jc w:val="center"/>
      </w:pPr>
      <w:r>
        <w:rPr>
          <w:rFonts w:ascii="Arial" w:cs="Arial" w:eastAsia="Arial" w:hAnsi="Arial"/>
          <w:color w:val="555555"/>
          <w:sz w:val="26"/>
          <w:szCs w:val="26"/>
        </w:rPr>
        <w:t xml:space="preserve">Product Requirements Document</w:t>
      </w:r>
    </w:p>
    <w:p>
      <w:pPr>
        <w:pBdr>
          <w:bottom w:val="single" w:color="DDDDDD" w:sz="4" w:space="1"/>
        </w:pBdr>
        <w:spacing w:after="0" w:before="0"/>
      </w:pPr>
      <w:r>
        <w:t xml:space="preserve"/>
      </w:r>
    </w:p>
    <w:p>
      <w:pPr>
        <w:spacing w:after="60" w:before="0"/>
      </w:pPr>
      <w:r>
        <w:t xml:space="preserve"/>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b/>
                <w:bCs/>
                <w:color w:val="1A1A2E"/>
                <w:sz w:val="20"/>
                <w:szCs w:val="20"/>
              </w:rPr>
              <w:t xml:space="preserve">Version</w:t>
            </w:r>
          </w:p>
        </w:tc>
        <w:tc>
          <w:tcPr>
            <w:tcW w:type="dxa" w:w="3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color w:val="555555"/>
                <w:sz w:val="20"/>
                <w:szCs w:val="20"/>
              </w:rPr>
              <w:t xml:space="preserve">3.0</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b/>
                <w:bCs/>
                <w:color w:val="1A1A2E"/>
                <w:sz w:val="20"/>
                <w:szCs w:val="20"/>
              </w:rPr>
              <w:t xml:space="preserve">Status</w:t>
            </w:r>
          </w:p>
        </w:tc>
        <w:tc>
          <w:tcPr>
            <w:tcW w:type="dxa" w:w="3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b/>
                <w:bCs/>
                <w:color w:val="1B6B3A"/>
                <w:sz w:val="20"/>
                <w:szCs w:val="20"/>
              </w:rPr>
              <w:t xml:space="preserve">Active Development</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b/>
                <w:bCs/>
                <w:color w:val="1A1A2E"/>
                <w:sz w:val="20"/>
                <w:szCs w:val="20"/>
              </w:rPr>
              <w:t xml:space="preserve">Last Updated</w:t>
            </w:r>
          </w:p>
        </w:tc>
        <w:tc>
          <w:tcPr>
            <w:tcW w:type="dxa" w:w="3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color w:val="555555"/>
                <w:sz w:val="20"/>
                <w:szCs w:val="20"/>
              </w:rPr>
              <w:t xml:space="preserve">April 2026</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b/>
                <w:bCs/>
                <w:color w:val="1A1A2E"/>
                <w:sz w:val="20"/>
                <w:szCs w:val="20"/>
              </w:rPr>
              <w:t xml:space="preserve">Commissioned by</w:t>
            </w:r>
          </w:p>
        </w:tc>
        <w:tc>
          <w:tcPr>
            <w:tcW w:type="dxa" w:w="3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color w:val="555555"/>
                <w:sz w:val="20"/>
                <w:szCs w:val="20"/>
              </w:rPr>
              <w:t xml:space="preserve">University CS Department</w:t>
            </w:r>
          </w:p>
        </w:tc>
      </w:tr>
      <w:tr>
        <w:tc>
          <w:tcPr>
            <w:tcW w:type="dxa" w:w="2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b/>
                <w:bCs/>
                <w:color w:val="1A1A2E"/>
                <w:sz w:val="20"/>
                <w:szCs w:val="20"/>
              </w:rPr>
              <w:t xml:space="preserve">Repository</w:t>
            </w:r>
          </w:p>
        </w:tc>
        <w:tc>
          <w:tcPr>
            <w:tcW w:type="dxa" w:w="3200"/>
            <w:tcBorders>
              <w:top w:val="none" w:color="FFFFFF" w:sz="0"/>
              <w:left w:val="none" w:color="FFFFFF" w:sz="0"/>
              <w:bottom w:val="none" w:color="FFFFFF" w:sz="0"/>
              <w:right w:val="none" w:color="FFFFFF" w:sz="0"/>
            </w:tcBorders>
            <w:tcMar>
              <w:top w:type="dxa" w:w="80"/>
              <w:left w:type="dxa" w:w="100"/>
              <w:bottom w:type="dxa" w:w="80"/>
              <w:right w:type="dxa" w:w="100"/>
            </w:tcMar>
          </w:tcPr>
          <w:p>
            <w:r>
              <w:rPr>
                <w:rFonts w:ascii="Arial" w:cs="Arial" w:eastAsia="Arial" w:hAnsi="Arial"/>
                <w:color w:val="2E5BBA"/>
                <w:sz w:val="20"/>
                <w:szCs w:val="20"/>
              </w:rPr>
              <w:t xml:space="preserve">github.com/tianzesun/CodeProvenance</w:t>
            </w:r>
          </w:p>
        </w:tc>
      </w:tr>
    </w:tbl>
    <w:p>
      <w:pPr>
        <w:spacing w:after="0" w:before="0"/>
      </w:pPr>
      <w:r>
        <w:br w:type="page"/>
      </w:r>
    </w:p>
    <w:p>
      <w:pPr>
        <w:pStyle w:val="Heading1"/>
        <w:pBdr>
          <w:bottom w:val="single" w:color="2E5BBA" w:sz="8" w:space="4"/>
        </w:pBdr>
        <w:spacing w:after="120" w:before="360"/>
      </w:pPr>
      <w:r>
        <w:rPr>
          <w:rFonts w:ascii="Arial" w:cs="Arial" w:eastAsia="Arial" w:hAnsi="Arial"/>
          <w:b/>
          <w:bCs/>
          <w:color w:val="1A1A2E"/>
          <w:sz w:val="36"/>
          <w:szCs w:val="36"/>
        </w:rPr>
        <w:t xml:space="preserve">1. Executive Summary</w:t>
      </w:r>
    </w:p>
    <w:p>
      <w:pPr>
        <w:spacing w:after="140" w:before="0"/>
      </w:pPr>
      <w:r>
        <w:rPr>
          <w:rFonts w:ascii="Arial" w:cs="Arial" w:eastAsia="Arial" w:hAnsi="Arial"/>
          <w:color w:val="555555"/>
          <w:sz w:val="22"/>
          <w:szCs w:val="22"/>
        </w:rPr>
        <w:t xml:space="preserve">IntegrityDesk is an Academic Integrity Decision System commissioned by a university CS department. It provides professors and academic integrity committees with a structured, evidence-based workflow for detecting code plagiarism, managing cases, and issuing defensible rulings that withstand student appeals.</w:t>
      </w:r>
    </w:p>
    <w:p>
      <w:pPr>
        <w:spacing w:after="60" w:before="0"/>
      </w:pPr>
      <w:r>
        <w:t xml:space="preserve"/>
      </w:r>
    </w:p>
    <w:p>
      <w:pPr>
        <w:spacing w:after="140" w:before="0"/>
      </w:pPr>
      <w:r>
        <w:rPr>
          <w:rFonts w:ascii="Arial" w:cs="Arial" w:eastAsia="Arial" w:hAnsi="Arial"/>
          <w:color w:val="555555"/>
          <w:sz w:val="22"/>
          <w:szCs w:val="22"/>
        </w:rPr>
        <w:t xml:space="preserve">The system is not a plagiarism score generator. It is an evidence infrastructure platform — every finding it produces must be explainable, auditable, and legally defensible in a formal academic integrity hearing.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thick" w:color="2E5BBA" w:sz="24"/>
              <w:bottom w:val="none" w:sz="0"/>
              <w:right w:val="none" w:sz="0"/>
            </w:tcBorders>
            <w:shd w:fill="EEF3FB" w:val="clear"/>
            <w:tcMar>
              <w:top w:type="dxa" w:w="100"/>
              <w:left w:type="dxa" w:w="140"/>
              <w:bottom w:type="dxa" w:w="100"/>
              <w:right w:type="dxa" w:w="140"/>
            </w:tcMar>
          </w:tcPr>
          <w:p>
            <w:pPr>
              <w:spacing w:after="60" w:before="0"/>
            </w:pPr>
            <w:r>
              <w:rPr>
                <w:rFonts w:ascii="Arial" w:cs="Arial" w:eastAsia="Arial" w:hAnsi="Arial"/>
                <w:b/>
                <w:bCs/>
                <w:color w:val="2E5BBA"/>
                <w:sz w:val="20"/>
                <w:szCs w:val="20"/>
              </w:rPr>
              <w:t xml:space="preserve">Core Design Principle</w:t>
            </w:r>
          </w:p>
          <w:p>
            <w:pPr>
              <w:spacing w:after="0" w:before="0"/>
            </w:pPr>
            <w:r>
              <w:rPr>
                <w:rFonts w:ascii="Arial" w:cs="Arial" w:eastAsia="Arial" w:hAnsi="Arial"/>
                <w:color w:val="555555"/>
                <w:sz w:val="20"/>
                <w:szCs w:val="20"/>
              </w:rPr>
              <w:t xml:space="preserve">IntegrityDesk surfaces evidence. Humans make decisions. The system must never auto-adjudicate. Every case requires professor review before referral, and committee review before ruling.</w:t>
            </w:r>
          </w:p>
        </w:tc>
      </w:tr>
    </w:tbl>
    <w:p>
      <w:pPr>
        <w:spacing w:after="60" w:before="0"/>
      </w:pPr>
      <w:r>
        <w:t xml:space="preserve"/>
      </w:r>
    </w:p>
    <w:p>
      <w:pPr>
        <w:pStyle w:val="Heading2"/>
        <w:spacing w:after="80" w:before="280"/>
      </w:pPr>
      <w:r>
        <w:rPr>
          <w:rFonts w:ascii="Arial" w:cs="Arial" w:eastAsia="Arial" w:hAnsi="Arial"/>
          <w:b/>
          <w:bCs/>
          <w:color w:val="2E5BBA"/>
          <w:sz w:val="28"/>
          <w:szCs w:val="28"/>
        </w:rPr>
        <w:t xml:space="preserve">1.1  Detection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Engine</w:t>
            </w:r>
          </w:p>
        </w:tc>
        <w:tc>
          <w:tcPr>
            <w:tcW w:type="dxa" w:w="4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Catches</w:t>
            </w:r>
          </w:p>
        </w:tc>
        <w:tc>
          <w:tcPr>
            <w:tcW w:type="dxa" w:w="2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Winnowing (MOSS-style)</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Token-level fingerprinting, fast baseline</w:t>
            </w:r>
          </w:p>
        </w:tc>
        <w:tc>
          <w:tcPr>
            <w:tcW w:type="dxa" w:w="25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Implemented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 CFG Similarity</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Structural clones, control flow equivalence</w:t>
            </w:r>
          </w:p>
        </w:tc>
        <w:tc>
          <w:tcPr>
            <w:tcW w:type="dxa" w:w="25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Implemented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Token &amp; N-gram Analysis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Surface-level similarity, reordering</w:t>
            </w:r>
          </w:p>
        </w:tc>
        <w:tc>
          <w:tcPr>
            <w:tcW w:type="dxa" w:w="25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Implemented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UniXcoder Embeddings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Semantic equivalence, LLM-rewritten code</w:t>
            </w:r>
          </w:p>
        </w:tc>
        <w:tc>
          <w:tcPr>
            <w:tcW w:type="dxa" w:w="25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Implemented (GPU)</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Execution Similarity</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Behavioural equivalence — hardest to fake</w:t>
            </w:r>
          </w:p>
        </w:tc>
        <w:tc>
          <w:tcPr>
            <w:tcW w:type="dxa" w:w="25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Implemented (sandboxed)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AI-Generated Detection</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Perplexity, burstiness, model fingerprinting</w:t>
            </w:r>
          </w:p>
        </w:tc>
        <w:tc>
          <w:tcPr>
            <w:tcW w:type="dxa" w:w="25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Git History Analysis</w:t>
            </w:r>
          </w:p>
        </w:tc>
        <w:tc>
          <w:tcPr>
            <w:tcW w:type="dxa" w:w="4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Fabricated commit history, late large insertions</w:t>
            </w:r>
          </w:p>
        </w:tc>
        <w:tc>
          <w:tcPr>
            <w:tcW w:type="dxa" w:w="256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tcPr>
          <w:p>
            <w:r>
              <w:rPr>
                <w:rFonts w:ascii="Arial" w:cs="Arial" w:eastAsia="Arial" w:hAnsi="Arial"/>
                <w:b/>
                <w:bCs/>
                <w:color w:val="7B4A00"/>
                <w:sz w:val="20"/>
                <w:szCs w:val="20"/>
              </w:rPr>
              <w:t xml:space="preserve">⚠️  In codebase, not wired</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2. User Roles &amp; Needs</w:t>
      </w:r>
    </w:p>
    <w:p>
      <w:pPr>
        <w:spacing w:after="140" w:before="0"/>
      </w:pPr>
      <w:r>
        <w:rPr>
          <w:rFonts w:ascii="Arial" w:cs="Arial" w:eastAsia="Arial" w:hAnsi="Arial"/>
          <w:color w:val="555555"/>
          <w:sz w:val="22"/>
          <w:szCs w:val="22"/>
        </w:rPr>
        <w:t xml:space="preserve">Two distinct user roles drive entirely different workflows and interface requirements.</w:t>
      </w:r>
    </w:p>
    <w:p>
      <w:pPr>
        <w:spacing w:after="60" w:before="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04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c>
          <w:tcPr>
            <w:tcW w:type="dxa" w:w="368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Professor</w:t>
            </w:r>
          </w:p>
        </w:tc>
        <w:tc>
          <w:tcPr>
            <w:tcW w:type="dxa" w:w="304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Committee Member</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Primary goal</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Identify suspicious submission pairs in a class</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Adjudicate referred cases fairly and defensibly</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Input</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Batch of student .py/.java/.c files</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 single referred case with full evidence</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Output</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Ranked suspicious pairs + diff evidence</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Formal ruling with sanction or dismissal</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Decision authority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Refer to committee or dismiss</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Rule on violation; cannot be overridden by system</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Data access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Their own courses only</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referred cases across all courses</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Key pain point</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False positives destroy trust in the system</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Needs evidence strong enough to withstand appeal</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Audit requirement</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Basic action log</w:t>
            </w:r>
          </w:p>
        </w:tc>
        <w:tc>
          <w:tcPr>
            <w:tcW w:type="dxa" w:w="304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immutable legal-grade audit trail</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3. Case Lifecycle</w:t>
      </w:r>
    </w:p>
    <w:p>
      <w:pPr>
        <w:spacing w:after="140" w:before="0"/>
      </w:pPr>
      <w:r>
        <w:rPr>
          <w:rFonts w:ascii="Arial" w:cs="Arial" w:eastAsia="Arial" w:hAnsi="Arial"/>
          <w:color w:val="555555"/>
          <w:sz w:val="22"/>
          <w:szCs w:val="22"/>
        </w:rPr>
        <w:t xml:space="preserve">Every plagiarism finding in IntegrityDesk follows a strict lifecycle. The system enforces stage gates — a finding cannot skip stages, and no ruling can be issued without human review at each gate.</w:t>
      </w:r>
    </w:p>
    <w:p>
      <w:pPr>
        <w:spacing w:after="60" w:before="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200"/>
        <w:gridCol w:w="4060"/>
      </w:tblGrid>
      <w:tr>
        <w:tc>
          <w:tcPr>
            <w:tcW w:type="dxa" w:w="1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Stage</w:t>
            </w:r>
          </w:p>
        </w:tc>
        <w:tc>
          <w:tcPr>
            <w:tcW w:type="dxa" w:w="1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Actor</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c>
          <w:tcPr>
            <w:tcW w:type="dxa" w:w="40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System Role</w:t>
            </w:r>
          </w:p>
        </w:tc>
      </w:tr>
      <w:tr>
        <w:tc>
          <w:tcPr>
            <w:tcW w:type="dxa" w:w="15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1. Ingestion</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Upload submission folder</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Hash each file on receipt. Immutable from this point.</w:t>
            </w:r>
          </w:p>
        </w:tc>
      </w:tr>
      <w:tr>
        <w:tc>
          <w:tcPr>
            <w:tcW w:type="dxa" w:w="15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2. Detection</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System</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Run all 5 engines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Produce similarity scores + feature breakdown per pair.</w:t>
            </w:r>
          </w:p>
        </w:tc>
      </w:tr>
      <w:tr>
        <w:tc>
          <w:tcPr>
            <w:tcW w:type="dxa" w:w="15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3. Triage</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Review flagged pairs + diff view</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Show ranked suspicious pairs, side-by-side diff, rename map.</w:t>
            </w:r>
          </w:p>
        </w:tc>
      </w:tr>
      <w:tr>
        <w:tc>
          <w:tcPr>
            <w:tcW w:type="dxa" w:w="15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4. Referral</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Refer or dismiss</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Record decision with timestamp. Generate evidence package.</w:t>
            </w:r>
          </w:p>
        </w:tc>
      </w:tr>
      <w:tr>
        <w:tc>
          <w:tcPr>
            <w:tcW w:type="dxa" w:w="15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5. Committee Review</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Committee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Review evidence, hear student</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Case management dashboard. Export full case file as PDF.</w:t>
            </w:r>
          </w:p>
        </w:tc>
      </w:tr>
      <w:tr>
        <w:tc>
          <w:tcPr>
            <w:tcW w:type="dxa" w:w="15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6. Ruling</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Committee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Issue decision + sanction</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Record ruling. Lock case. Trigger notification workflow.</w:t>
            </w:r>
          </w:p>
        </w:tc>
      </w:tr>
      <w:tr>
        <w:tc>
          <w:tcPr>
            <w:tcW w:type="dxa" w:w="15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7. Appeal</w:t>
            </w:r>
          </w:p>
        </w:tc>
        <w:tc>
          <w:tcPr>
            <w:tcW w:type="dxa" w:w="1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Student / Committee</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File and review appeal</w:t>
            </w:r>
          </w:p>
        </w:tc>
        <w:tc>
          <w:tcPr>
            <w:tcW w:type="dxa" w:w="40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audit export. All evidence preserved. Case reopened if upheld.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thick" w:color="7B4A00" w:sz="24"/>
              <w:bottom w:val="none" w:sz="0"/>
              <w:right w:val="none" w:sz="0"/>
            </w:tcBorders>
            <w:shd w:fill="FFF3CD" w:val="clear"/>
            <w:tcMar>
              <w:top w:type="dxa" w:w="100"/>
              <w:left w:type="dxa" w:w="140"/>
              <w:bottom w:type="dxa" w:w="100"/>
              <w:right w:type="dxa" w:w="140"/>
            </w:tcMar>
          </w:tcPr>
          <w:p>
            <w:pPr>
              <w:spacing w:after="60" w:before="0"/>
            </w:pPr>
            <w:r>
              <w:rPr>
                <w:rFonts w:ascii="Arial" w:cs="Arial" w:eastAsia="Arial" w:hAnsi="Arial"/>
                <w:b/>
                <w:bCs/>
                <w:color w:val="7B4A00"/>
                <w:sz w:val="20"/>
                <w:szCs w:val="20"/>
              </w:rPr>
              <w:t xml:space="preserve">FERPA / PIPEDA Compliance Note</w:t>
            </w:r>
          </w:p>
          <w:p>
            <w:pPr>
              <w:spacing w:after="0" w:before="0"/>
            </w:pPr>
            <w:r>
              <w:rPr>
                <w:rFonts w:ascii="Arial" w:cs="Arial" w:eastAsia="Arial" w:hAnsi="Arial"/>
                <w:color w:val="555555"/>
                <w:sz w:val="20"/>
                <w:szCs w:val="20"/>
              </w:rPr>
              <w:t xml:space="preserve">Student submissions are educational records. Once ingested, they are stored encrypted at rest (AES-256). Access is role-scoped: professors see only their courses; committee members see referred cases only. No student data is sent to external APIs. The UniXcoder model runs locally on the university GPU server.</w:t>
            </w:r>
          </w:p>
        </w:tc>
      </w:tr>
    </w:tbl>
    <w:p>
      <w:pPr>
        <w:spacing w:after="60" w:before="0"/>
      </w:pPr>
      <w:r>
        <w:t xml:space="preserve"/>
      </w:r>
    </w:p>
    <w:p>
      <w:pPr>
        <w:spacing w:after="60" w:before="0"/>
      </w:pPr>
      <w:r>
        <w:t xml:space="preserve"/>
      </w:r>
    </w:p>
    <w:p>
      <w:pPr>
        <w:spacing w:after="0" w:before="0"/>
      </w:pPr>
      <w:r>
        <w:br w:type="page"/>
      </w:r>
    </w:p>
    <w:p>
      <w:pPr>
        <w:pStyle w:val="Heading1"/>
        <w:pBdr>
          <w:bottom w:val="single" w:color="2E5BBA" w:sz="8" w:space="4"/>
        </w:pBdr>
        <w:spacing w:after="120" w:before="360"/>
      </w:pPr>
      <w:r>
        <w:rPr>
          <w:rFonts w:ascii="Arial" w:cs="Arial" w:eastAsia="Arial" w:hAnsi="Arial"/>
          <w:b/>
          <w:bCs/>
          <w:color w:val="1A1A2E"/>
          <w:sz w:val="36"/>
          <w:szCs w:val="36"/>
        </w:rPr>
        <w:t xml:space="preserve">4. Domain Model</w:t>
      </w:r>
    </w:p>
    <w:p>
      <w:pPr>
        <w:spacing w:after="140" w:before="0"/>
      </w:pPr>
      <w:r>
        <w:rPr>
          <w:rFonts w:ascii="Arial" w:cs="Arial" w:eastAsia="Arial" w:hAnsi="Arial"/>
          <w:color w:val="555555"/>
          <w:sz w:val="22"/>
          <w:szCs w:val="22"/>
        </w:rPr>
        <w:t xml:space="preserve">The current domain model (domain/models.py) is score-oriented. It must be extended to be case-oriented. Similarity engines are unchanged — their output is wrapped into a Case rather than returned directly.</w:t>
      </w:r>
    </w:p>
    <w:p>
      <w:pPr>
        <w:spacing w:after="60" w:before="0"/>
      </w:pPr>
      <w:r>
        <w:t xml:space="preserve"/>
      </w:r>
    </w:p>
    <w:p>
      <w:pPr>
        <w:pStyle w:val="Heading2"/>
        <w:spacing w:after="80" w:before="280"/>
      </w:pPr>
      <w:r>
        <w:rPr>
          <w:rFonts w:ascii="Arial" w:cs="Arial" w:eastAsia="Arial" w:hAnsi="Arial"/>
          <w:b/>
          <w:bCs/>
          <w:color w:val="2E5BBA"/>
          <w:sz w:val="28"/>
          <w:szCs w:val="28"/>
        </w:rPr>
        <w:t xml:space="preserve">4.1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Entity</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45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Fields</w:t>
            </w:r>
          </w:p>
        </w:tc>
      </w:tr>
      <w:tr>
        <w:tc>
          <w:tcPr>
            <w:tcW w:type="dxa" w:w="18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Submission</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 single student file, immutable once ingested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id, student_id, course_id, sha256_hash, received_at, language</w:t>
            </w:r>
          </w:p>
        </w:tc>
      </w:tr>
      <w:tr>
        <w:tc>
          <w:tcPr>
            <w:tcW w:type="dxa" w:w="18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Finding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Pairwise similarity result from detection engines</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submission_a_id, submission_b_id, engine_scores{}, fused_score, created_at</w:t>
            </w:r>
          </w:p>
        </w:tc>
      </w:tr>
      <w:tr>
        <w:tc>
          <w:tcPr>
            <w:tcW w:type="dxa" w:w="18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Case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 finding that has been reviewed and triaged</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id, finding_id, status, referred_by, referred_at, assignment_type</w:t>
            </w:r>
          </w:p>
        </w:tc>
      </w:tr>
      <w:tr>
        <w:tc>
          <w:tcPr>
            <w:tcW w:type="dxa" w:w="18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Evidence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Structured evidence attached to a case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case_id, diff_html, rename_map{}, matched_lines[], engine_breakdown{}</w:t>
            </w:r>
          </w:p>
        </w:tc>
      </w:tr>
      <w:tr>
        <w:tc>
          <w:tcPr>
            <w:tcW w:type="dxa" w:w="18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Ruling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Committee decision on a case</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case_id, decision (VIOLATION/NO_VIOLATION), sanction, ruled_by, ruled_at, notes</w:t>
            </w:r>
          </w:p>
        </w:tc>
      </w:tr>
      <w:tr>
        <w:tc>
          <w:tcPr>
            <w:tcW w:type="dxa" w:w="18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AuditLog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Immutable record of every action</w:t>
            </w:r>
          </w:p>
        </w:tc>
        <w:tc>
          <w:tcPr>
            <w:tcW w:type="dxa" w:w="45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case_id, actor_id, action, timestamp, metadata_json</w:t>
            </w:r>
          </w:p>
        </w:tc>
      </w:tr>
    </w:tbl>
    <w:p>
      <w:pPr>
        <w:spacing w:after="60" w:before="0"/>
      </w:pPr>
      <w:r>
        <w:t xml:space="preserve"/>
      </w:r>
    </w:p>
    <w:p>
      <w:pPr>
        <w:pStyle w:val="Heading2"/>
        <w:spacing w:after="80" w:before="280"/>
      </w:pPr>
      <w:r>
        <w:rPr>
          <w:rFonts w:ascii="Arial" w:cs="Arial" w:eastAsia="Arial" w:hAnsi="Arial"/>
          <w:b/>
          <w:bCs/>
          <w:color w:val="2E5BBA"/>
          <w:sz w:val="28"/>
          <w:szCs w:val="28"/>
        </w:rPr>
        <w:t xml:space="preserve">4.2  Case Status FSM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w:t>
            </w:r>
          </w:p>
        </w:tc>
        <w:tc>
          <w:tcPr>
            <w:tcW w:type="dxa" w:w="3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Meaning</w:t>
            </w:r>
          </w:p>
        </w:tc>
        <w:tc>
          <w:tcPr>
            <w:tcW w:type="dxa" w:w="38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Next Allowed States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DETECTED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Engines ran, awaiting professor triage</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DISMISSED, REFERRED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DISMISSED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 reviewed, no violation suspected</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(terminal — can be reopened by committee only)</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REFERRED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 referred to committee</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UNDER_REVIEW</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UNDER_REVIEW</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Committee is actively reviewing</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RULED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RULED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Committee has issued a decision</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APPEALED, CLOSED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APPEALED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Student has filed an appeal</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UNDER_REVIEW (reopened), CLOSED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CLOSED</w:t>
            </w:r>
          </w:p>
        </w:tc>
        <w:tc>
          <w:tcPr>
            <w:tcW w:type="dxa" w:w="3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Final state — fully archived</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(terminal)</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5. Detection Engine</w:t>
      </w:r>
    </w:p>
    <w:p>
      <w:pPr>
        <w:pStyle w:val="Heading2"/>
        <w:spacing w:after="80" w:before="280"/>
      </w:pPr>
      <w:r>
        <w:rPr>
          <w:rFonts w:ascii="Arial" w:cs="Arial" w:eastAsia="Arial" w:hAnsi="Arial"/>
          <w:b/>
          <w:bCs/>
          <w:color w:val="2E5BBA"/>
          <w:sz w:val="28"/>
          <w:szCs w:val="28"/>
        </w:rPr>
        <w:t xml:space="preserve">5.1  Fusion Scoring</w:t>
      </w:r>
    </w:p>
    <w:p>
      <w:pPr>
        <w:spacing w:after="140" w:before="0"/>
      </w:pPr>
      <w:r>
        <w:rPr>
          <w:rFonts w:ascii="Arial" w:cs="Arial" w:eastAsia="Arial" w:hAnsi="Arial"/>
          <w:color w:val="555555"/>
          <w:sz w:val="22"/>
          <w:szCs w:val="22"/>
        </w:rPr>
        <w:t xml:space="preserve">Five engines produce independent scores. The FusionEngine combines them with configurable weights. Current defaults are shown below. Weights should be tunable per assignment type by professors.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Engine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Default Weight</w:t>
            </w:r>
          </w:p>
        </w:tc>
        <w:tc>
          <w:tcPr>
            <w:tcW w:type="dxa" w:w="4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Rationale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Similarity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0.35 (highest)</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Structural clones survive most manual obfuscation. Highest signal for CS assignments.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Winnowing / Fingerprint</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0.30</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Fast, proven (MOSS baseline). Good for token-level copying.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UniXcoder Embedding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0.20</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Catches LLM-rewritten code and semantic equivalents. Runs locally on GPU.</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Execution Similarity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0.10</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Behavioural equivalence — strongest signal for algorithms, hardest for students to fake.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N-gram Similarity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0.05</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Redundant with winnowing but useful as tiebreaker. Low weight intentional.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thick" w:color="7B4A00" w:sz="24"/>
              <w:bottom w:val="none" w:sz="0"/>
              <w:right w:val="none" w:sz="0"/>
            </w:tcBorders>
            <w:shd w:fill="FFF3CD" w:val="clear"/>
            <w:tcMar>
              <w:top w:type="dxa" w:w="100"/>
              <w:left w:type="dxa" w:w="140"/>
              <w:bottom w:type="dxa" w:w="100"/>
              <w:right w:type="dxa" w:w="140"/>
            </w:tcMar>
          </w:tcPr>
          <w:p>
            <w:pPr>
              <w:spacing w:after="60" w:before="0"/>
            </w:pPr>
            <w:r>
              <w:rPr>
                <w:rFonts w:ascii="Arial" w:cs="Arial" w:eastAsia="Arial" w:hAnsi="Arial"/>
                <w:b/>
                <w:bCs/>
                <w:color w:val="7B4A00"/>
                <w:sz w:val="20"/>
                <w:szCs w:val="20"/>
              </w:rPr>
              <w:t xml:space="preserve">CS Student Evasion Tactics (Known)</w:t>
            </w:r>
          </w:p>
          <w:p>
            <w:pPr>
              <w:spacing w:after="0" w:before="0"/>
            </w:pPr>
            <w:r>
              <w:rPr>
                <w:rFonts w:ascii="Arial" w:cs="Arial" w:eastAsia="Arial" w:hAnsi="Arial"/>
                <w:color w:val="555555"/>
                <w:sz w:val="20"/>
                <w:szCs w:val="20"/>
              </w:rPr>
              <w:t xml:space="preserve">CS students actively attempt to evade detection. Documented tactics include: manual AST restructuring, algorithmic equivalence transforms (iterative→recursive), variable/function renaming, using AI to semantically rewrite code, and fabricating Git commit history to fake originality. The execution similarity engine is the hardest to evade — behavioural equivalence survives all of the above.</w:t>
            </w:r>
          </w:p>
        </w:tc>
      </w:tr>
    </w:tbl>
    <w:p>
      <w:pPr>
        <w:spacing w:after="60" w:before="0"/>
      </w:pPr>
      <w:r>
        <w:t xml:space="preserve"/>
      </w:r>
    </w:p>
    <w:p>
      <w:pPr>
        <w:pStyle w:val="Heading2"/>
        <w:spacing w:after="80" w:before="280"/>
      </w:pPr>
      <w:r>
        <w:rPr>
          <w:rFonts w:ascii="Arial" w:cs="Arial" w:eastAsia="Arial" w:hAnsi="Arial"/>
          <w:b/>
          <w:bCs/>
          <w:color w:val="2E5BBA"/>
          <w:sz w:val="28"/>
          <w:szCs w:val="28"/>
        </w:rPr>
        <w:t xml:space="preserve">5.2  Assignment Type Weights</w:t>
      </w:r>
    </w:p>
    <w:p>
      <w:pPr>
        <w:spacing w:after="140" w:before="0"/>
      </w:pPr>
      <w:r>
        <w:rPr>
          <w:rFonts w:ascii="Arial" w:cs="Arial" w:eastAsia="Arial" w:hAnsi="Arial"/>
          <w:color w:val="555555"/>
          <w:sz w:val="22"/>
          <w:szCs w:val="22"/>
        </w:rPr>
        <w:t xml:space="preserve">Different CS assignment types have different optimal engine weightings. Professors should be able to tag assignment type at upload time to automatically adjust weights.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Assignment Type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Primary Signal</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Secondary Signal</w:t>
            </w:r>
          </w:p>
        </w:tc>
        <w:tc>
          <w:tcPr>
            <w:tcW w:type="dxa" w:w="2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Lower Weight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Algorithms (sort, search)</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Execution similarity</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structure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N-gram</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Data Structures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 CFG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Token patterns</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Execution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AI/ML Assignments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UniXcoder embedding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Token similarity</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CFG (less meaningful)</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Open-ended Projects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Git history analysis</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engines combined</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N/A</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Web / Scripting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Token + Winnowing</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structure</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Execution</w:t>
            </w:r>
          </w:p>
        </w:tc>
      </w:tr>
    </w:tbl>
    <w:p>
      <w:pPr>
        <w:spacing w:after="60" w:before="0"/>
      </w:pPr>
      <w:r>
        <w:t xml:space="preserve"/>
      </w:r>
    </w:p>
    <w:p>
      <w:pPr>
        <w:spacing w:after="60" w:before="0"/>
      </w:pPr>
      <w:r>
        <w:t xml:space="preserve"/>
      </w:r>
    </w:p>
    <w:p>
      <w:pPr>
        <w:spacing w:after="0" w:before="0"/>
      </w:pPr>
      <w:r>
        <w:br w:type="page"/>
      </w:r>
    </w:p>
    <w:p>
      <w:pPr>
        <w:pStyle w:val="Heading1"/>
        <w:pBdr>
          <w:bottom w:val="single" w:color="2E5BBA" w:sz="8" w:space="4"/>
        </w:pBdr>
        <w:spacing w:after="120" w:before="360"/>
      </w:pPr>
      <w:r>
        <w:rPr>
          <w:rFonts w:ascii="Arial" w:cs="Arial" w:eastAsia="Arial" w:hAnsi="Arial"/>
          <w:b/>
          <w:bCs/>
          <w:color w:val="1A1A2E"/>
          <w:sz w:val="36"/>
          <w:szCs w:val="36"/>
        </w:rPr>
        <w:t xml:space="preserve">6. Professor Service</w:t>
      </w:r>
    </w:p>
    <w:p>
      <w:pPr>
        <w:pStyle w:val="Heading2"/>
        <w:spacing w:after="80" w:before="280"/>
      </w:pPr>
      <w:r>
        <w:rPr>
          <w:rFonts w:ascii="Arial" w:cs="Arial" w:eastAsia="Arial" w:hAnsi="Arial"/>
          <w:b/>
          <w:bCs/>
          <w:color w:val="2E5BBA"/>
          <w:sz w:val="28"/>
          <w:szCs w:val="28"/>
        </w:rPr>
        <w:t xml:space="preserve">6.1  Workflow</w:t>
      </w:r>
    </w:p>
    <w:p>
      <w:pPr>
        <w:pStyle w:val="ListParagraph"/>
        <w:numPr>
          <w:ilvl w:val="0"/>
          <w:numId w:val="2"/>
        </w:numPr>
        <w:spacing w:after="80" w:before="0"/>
      </w:pPr>
      <w:r>
        <w:rPr>
          <w:rFonts w:ascii="Arial" w:cs="Arial" w:eastAsia="Arial" w:hAnsi="Arial"/>
          <w:color w:val="555555"/>
          <w:sz w:val="22"/>
          <w:szCs w:val="22"/>
        </w:rPr>
        <w:t xml:space="preserve">Upload a folder of student submissions (.py, .java, .c, etc.) for an assignment</w:t>
      </w:r>
    </w:p>
    <w:p>
      <w:pPr>
        <w:pStyle w:val="ListParagraph"/>
        <w:numPr>
          <w:ilvl w:val="0"/>
          <w:numId w:val="2"/>
        </w:numPr>
        <w:spacing w:after="80" w:before="0"/>
      </w:pPr>
      <w:r>
        <w:rPr>
          <w:rFonts w:ascii="Arial" w:cs="Arial" w:eastAsia="Arial" w:hAnsi="Arial"/>
          <w:color w:val="555555"/>
          <w:sz w:val="22"/>
          <w:szCs w:val="22"/>
        </w:rPr>
        <w:t xml:space="preserve">System runs all-pairs comparison — N×N matrix in a single GPU batch pass</w:t>
      </w:r>
    </w:p>
    <w:p>
      <w:pPr>
        <w:pStyle w:val="ListParagraph"/>
        <w:numPr>
          <w:ilvl w:val="0"/>
          <w:numId w:val="2"/>
        </w:numPr>
        <w:spacing w:after="80" w:before="0"/>
      </w:pPr>
      <w:r>
        <w:rPr>
          <w:rFonts w:ascii="Arial" w:cs="Arial" w:eastAsia="Arial" w:hAnsi="Arial"/>
          <w:color w:val="555555"/>
          <w:sz w:val="22"/>
          <w:szCs w:val="22"/>
        </w:rPr>
        <w:t xml:space="preserve">Dashboard shows ranked suspicious pairs with risk level (CRITICAL / HIGH / MEDIUM)</w:t>
      </w:r>
    </w:p>
    <w:p>
      <w:pPr>
        <w:pStyle w:val="ListParagraph"/>
        <w:numPr>
          <w:ilvl w:val="0"/>
          <w:numId w:val="2"/>
        </w:numPr>
        <w:spacing w:after="80" w:before="0"/>
      </w:pPr>
      <w:r>
        <w:rPr>
          <w:rFonts w:ascii="Arial" w:cs="Arial" w:eastAsia="Arial" w:hAnsi="Arial"/>
          <w:color w:val="555555"/>
          <w:sz w:val="22"/>
          <w:szCs w:val="22"/>
        </w:rPr>
        <w:t xml:space="preserve">Professor opens diff view for each flagged pair — side-by-side with matched lines highlighted</w:t>
      </w:r>
    </w:p>
    <w:p>
      <w:pPr>
        <w:pStyle w:val="ListParagraph"/>
        <w:numPr>
          <w:ilvl w:val="0"/>
          <w:numId w:val="2"/>
        </w:numPr>
        <w:spacing w:after="80" w:before="0"/>
      </w:pPr>
      <w:r>
        <w:rPr>
          <w:rFonts w:ascii="Arial" w:cs="Arial" w:eastAsia="Arial" w:hAnsi="Arial"/>
          <w:color w:val="555555"/>
          <w:sz w:val="22"/>
          <w:szCs w:val="22"/>
        </w:rPr>
        <w:t xml:space="preserve">Professor sees rename map: which identifiers were renamed between submissions</w:t>
      </w:r>
    </w:p>
    <w:p>
      <w:pPr>
        <w:pStyle w:val="ListParagraph"/>
        <w:numPr>
          <w:ilvl w:val="0"/>
          <w:numId w:val="2"/>
        </w:numPr>
        <w:spacing w:after="80" w:before="0"/>
      </w:pPr>
      <w:r>
        <w:rPr>
          <w:rFonts w:ascii="Arial" w:cs="Arial" w:eastAsia="Arial" w:hAnsi="Arial"/>
          <w:color w:val="555555"/>
          <w:sz w:val="22"/>
          <w:szCs w:val="22"/>
        </w:rPr>
        <w:t xml:space="preserve">Professor sees submission order: who submitted first (timestamp-ordered)</w:t>
      </w:r>
    </w:p>
    <w:p>
      <w:pPr>
        <w:pStyle w:val="ListParagraph"/>
        <w:numPr>
          <w:ilvl w:val="0"/>
          <w:numId w:val="2"/>
        </w:numPr>
        <w:spacing w:after="80" w:before="0"/>
      </w:pPr>
      <w:r>
        <w:rPr>
          <w:rFonts w:ascii="Arial" w:cs="Arial" w:eastAsia="Arial" w:hAnsi="Arial"/>
          <w:color w:val="555555"/>
          <w:sz w:val="22"/>
          <w:szCs w:val="22"/>
        </w:rPr>
        <w:t xml:space="preserve">Professor refers to committee or dismisses — must add a note</w:t>
      </w:r>
    </w:p>
    <w:p>
      <w:pPr>
        <w:pStyle w:val="ListParagraph"/>
        <w:numPr>
          <w:ilvl w:val="0"/>
          <w:numId w:val="2"/>
        </w:numPr>
        <w:spacing w:after="80" w:before="0"/>
      </w:pPr>
      <w:r>
        <w:rPr>
          <w:rFonts w:ascii="Arial" w:cs="Arial" w:eastAsia="Arial" w:hAnsi="Arial"/>
          <w:color w:val="555555"/>
          <w:sz w:val="22"/>
          <w:szCs w:val="22"/>
        </w:rPr>
        <w:t xml:space="preserve">All decisions logged with timestamp</w:t>
      </w:r>
    </w:p>
    <w:p>
      <w:pPr>
        <w:spacing w:after="60" w:before="0"/>
      </w:pPr>
      <w:r>
        <w:t xml:space="preserve"/>
      </w:r>
    </w:p>
    <w:p>
      <w:pPr>
        <w:pStyle w:val="Heading2"/>
        <w:spacing w:after="80" w:before="280"/>
      </w:pPr>
      <w:r>
        <w:rPr>
          <w:rFonts w:ascii="Arial" w:cs="Arial" w:eastAsia="Arial" w:hAnsi="Arial"/>
          <w:b/>
          <w:bCs/>
          <w:color w:val="2E5BBA"/>
          <w:sz w:val="28"/>
          <w:szCs w:val="28"/>
        </w:rPr>
        <w:t xml:space="preserve">6.2  Professor Dashboard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4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0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Batch upload</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ZIP or folder of student files. Auto-detect language.</w:t>
            </w:r>
          </w:p>
        </w:tc>
        <w:tc>
          <w:tcPr>
            <w:tcW w:type="dxa" w:w="20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Now</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Similarity matrix</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N×N heatmap with colour gradient. Click pair to open diff.</w:t>
            </w:r>
          </w:p>
        </w:tc>
        <w:tc>
          <w:tcPr>
            <w:tcW w:type="dxa" w:w="20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Now</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Ranked suspicious pairs</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Sorted by fused score. Show risk level, both engine scores.</w:t>
            </w:r>
          </w:p>
        </w:tc>
        <w:tc>
          <w:tcPr>
            <w:tcW w:type="dxa" w:w="206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Now</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Side-by-side diff view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Matched lines highlighted. Synchronised scrolling. Line numbers.</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Next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Rename detection report</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Table of identifier renames: student A name → student B name, count.</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Next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Submission timestamp order</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Who submitted first. Critical for determining direction of copying.</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Next</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Assignment type tagging</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 tags type at upload → weights auto-adjust.</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Refer / Dismiss workflow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One-click refer with mandatory note. Feeds committee queue.</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7. Committee Service</w:t>
      </w:r>
    </w:p>
    <w:p>
      <w:pPr>
        <w:pStyle w:val="Heading2"/>
        <w:spacing w:after="80" w:before="280"/>
      </w:pPr>
      <w:r>
        <w:rPr>
          <w:rFonts w:ascii="Arial" w:cs="Arial" w:eastAsia="Arial" w:hAnsi="Arial"/>
          <w:b/>
          <w:bCs/>
          <w:color w:val="2E5BBA"/>
          <w:sz w:val="28"/>
          <w:szCs w:val="28"/>
        </w:rPr>
        <w:t xml:space="preserve">7.1  Workflow</w:t>
      </w:r>
    </w:p>
    <w:p>
      <w:pPr>
        <w:pStyle w:val="ListParagraph"/>
        <w:numPr>
          <w:ilvl w:val="0"/>
          <w:numId w:val="2"/>
        </w:numPr>
        <w:spacing w:after="80" w:before="0"/>
      </w:pPr>
      <w:r>
        <w:rPr>
          <w:rFonts w:ascii="Arial" w:cs="Arial" w:eastAsia="Arial" w:hAnsi="Arial"/>
          <w:color w:val="555555"/>
          <w:sz w:val="22"/>
          <w:szCs w:val="22"/>
        </w:rPr>
        <w:t xml:space="preserve">Committee receives referred cases in a queue</w:t>
      </w:r>
    </w:p>
    <w:p>
      <w:pPr>
        <w:pStyle w:val="ListParagraph"/>
        <w:numPr>
          <w:ilvl w:val="0"/>
          <w:numId w:val="2"/>
        </w:numPr>
        <w:spacing w:after="80" w:before="0"/>
      </w:pPr>
      <w:r>
        <w:rPr>
          <w:rFonts w:ascii="Arial" w:cs="Arial" w:eastAsia="Arial" w:hAnsi="Arial"/>
          <w:color w:val="555555"/>
          <w:sz w:val="22"/>
          <w:szCs w:val="22"/>
        </w:rPr>
        <w:t xml:space="preserve">Each case shows: full evidence package, professor notes, submission timestamps, all engine scores</w:t>
      </w:r>
    </w:p>
    <w:p>
      <w:pPr>
        <w:pStyle w:val="ListParagraph"/>
        <w:numPr>
          <w:ilvl w:val="0"/>
          <w:numId w:val="2"/>
        </w:numPr>
        <w:spacing w:after="80" w:before="0"/>
      </w:pPr>
      <w:r>
        <w:rPr>
          <w:rFonts w:ascii="Arial" w:cs="Arial" w:eastAsia="Arial" w:hAnsi="Arial"/>
          <w:color w:val="555555"/>
          <w:sz w:val="22"/>
          <w:szCs w:val="22"/>
        </w:rPr>
        <w:t xml:space="preserve">Committee reviews side-by-side diff with line-level matching</w:t>
      </w:r>
    </w:p>
    <w:p>
      <w:pPr>
        <w:pStyle w:val="ListParagraph"/>
        <w:numPr>
          <w:ilvl w:val="0"/>
          <w:numId w:val="2"/>
        </w:numPr>
        <w:spacing w:after="80" w:before="0"/>
      </w:pPr>
      <w:r>
        <w:rPr>
          <w:rFonts w:ascii="Arial" w:cs="Arial" w:eastAsia="Arial" w:hAnsi="Arial"/>
          <w:color w:val="555555"/>
          <w:sz w:val="22"/>
          <w:szCs w:val="22"/>
        </w:rPr>
        <w:t xml:space="preserve">Committee can request student response before ruling</w:t>
      </w:r>
    </w:p>
    <w:p>
      <w:pPr>
        <w:pStyle w:val="ListParagraph"/>
        <w:numPr>
          <w:ilvl w:val="0"/>
          <w:numId w:val="2"/>
        </w:numPr>
        <w:spacing w:after="80" w:before="0"/>
      </w:pPr>
      <w:r>
        <w:rPr>
          <w:rFonts w:ascii="Arial" w:cs="Arial" w:eastAsia="Arial" w:hAnsi="Arial"/>
          <w:color w:val="555555"/>
          <w:sz w:val="22"/>
          <w:szCs w:val="22"/>
        </w:rPr>
        <w:t xml:space="preserve">Committee issues ruling: VIOLATION or NO_VIOLATION, with sanction and written rationale</w:t>
      </w:r>
    </w:p>
    <w:p>
      <w:pPr>
        <w:pStyle w:val="ListParagraph"/>
        <w:numPr>
          <w:ilvl w:val="0"/>
          <w:numId w:val="2"/>
        </w:numPr>
        <w:spacing w:after="80" w:before="0"/>
      </w:pPr>
      <w:r>
        <w:rPr>
          <w:rFonts w:ascii="Arial" w:cs="Arial" w:eastAsia="Arial" w:hAnsi="Arial"/>
          <w:color w:val="555555"/>
          <w:sz w:val="22"/>
          <w:szCs w:val="22"/>
        </w:rPr>
        <w:t xml:space="preserve">Student is notified. Student may file appeal within defined window</w:t>
      </w:r>
    </w:p>
    <w:p>
      <w:pPr>
        <w:pStyle w:val="ListParagraph"/>
        <w:numPr>
          <w:ilvl w:val="0"/>
          <w:numId w:val="2"/>
        </w:numPr>
        <w:spacing w:after="80" w:before="0"/>
      </w:pPr>
      <w:r>
        <w:rPr>
          <w:rFonts w:ascii="Arial" w:cs="Arial" w:eastAsia="Arial" w:hAnsi="Arial"/>
          <w:color w:val="555555"/>
          <w:sz w:val="22"/>
          <w:szCs w:val="22"/>
        </w:rPr>
        <w:t xml:space="preserve">On appeal, full case file is exported as tamper-evident PDF for review board</w:t>
      </w:r>
    </w:p>
    <w:p>
      <w:pPr>
        <w:spacing w:after="60" w:before="0"/>
      </w:pPr>
      <w:r>
        <w:t xml:space="preserve"/>
      </w:r>
    </w:p>
    <w:p>
      <w:pPr>
        <w:pStyle w:val="Heading2"/>
        <w:spacing w:after="80" w:before="280"/>
      </w:pPr>
      <w:r>
        <w:rPr>
          <w:rFonts w:ascii="Arial" w:cs="Arial" w:eastAsia="Arial" w:hAnsi="Arial"/>
          <w:b/>
          <w:bCs/>
          <w:color w:val="2E5BBA"/>
          <w:sz w:val="28"/>
          <w:szCs w:val="28"/>
        </w:rPr>
        <w:t xml:space="preserve">7.2  Committee Dashboard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c>
          <w:tcPr>
            <w:tcW w:type="dxa" w:w="2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4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0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Case queue</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referred cases sorted by referral date. Status indicators.</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Evidence package view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All engine scores, diff, rename map, submission order, professor notes.</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Ruling form</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Structured form: decision, sanction, written rationale. Mandatory fields.</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Appeal management</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Track appeal status. Reopen case if appeal upheld.</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3</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PDF case export</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 tamper-evident case file. Methodology section included.</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Audit trail view</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Every action on the case, immutable, timestamped, actor-tagged.</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2</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Multi-member sign-off</w:t>
            </w:r>
          </w:p>
        </w:tc>
        <w:tc>
          <w:tcPr>
            <w:tcW w:type="dxa" w:w="45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Optional: require N committee members to approve ruling.</w:t>
            </w:r>
          </w:p>
        </w:tc>
        <w:tc>
          <w:tcPr>
            <w:tcW w:type="dxa" w:w="206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Phase 3</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8. Evidence &amp; Explainability</w:t>
      </w:r>
    </w:p>
    <w:p>
      <w:pPr>
        <w:spacing w:after="140" w:before="0"/>
      </w:pPr>
      <w:r>
        <w:rPr>
          <w:rFonts w:ascii="Arial" w:cs="Arial" w:eastAsia="Arial" w:hAnsi="Arial"/>
          <w:color w:val="555555"/>
          <w:sz w:val="22"/>
          <w:szCs w:val="22"/>
        </w:rPr>
        <w:t xml:space="preserve">A similarity score alone is not evidence. The system must produce structured, human-readable findings that a professor can present in a committee hearing and that will withstand a smart student's rebuttal.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thick" w:color="B22222" w:sz="24"/>
              <w:bottom w:val="none" w:sz="0"/>
              <w:right w:val="none" w:sz="0"/>
            </w:tcBorders>
            <w:shd w:fill="FDECEA" w:val="clear"/>
            <w:tcMar>
              <w:top w:type="dxa" w:w="100"/>
              <w:left w:type="dxa" w:w="140"/>
              <w:bottom w:type="dxa" w:w="100"/>
              <w:right w:type="dxa" w:w="140"/>
            </w:tcMar>
          </w:tcPr>
          <w:p>
            <w:pPr>
              <w:spacing w:after="60" w:before="0"/>
            </w:pPr>
            <w:r>
              <w:rPr>
                <w:rFonts w:ascii="Arial" w:cs="Arial" w:eastAsia="Arial" w:hAnsi="Arial"/>
                <w:b/>
                <w:bCs/>
                <w:color w:val="B22222"/>
                <w:sz w:val="20"/>
                <w:szCs w:val="20"/>
              </w:rPr>
              <w:t xml:space="preserve">False Positives Are Catastrophic</w:t>
            </w:r>
          </w:p>
          <w:p>
            <w:pPr>
              <w:spacing w:after="0" w:before="0"/>
            </w:pPr>
            <w:r>
              <w:rPr>
                <w:rFonts w:ascii="Arial" w:cs="Arial" w:eastAsia="Arial" w:hAnsi="Arial"/>
                <w:color w:val="555555"/>
                <w:sz w:val="20"/>
                <w:szCs w:val="20"/>
              </w:rPr>
              <w:t xml:space="preserve">A CS student who is wrongly accused and can demonstrate their understanding of their own code will destroy the system's credibility in front of the committee. Every flagged pair must include sufficient explanation for a professor to make a confident, defensible referral decision.</w:t>
            </w:r>
          </w:p>
        </w:tc>
      </w:tr>
    </w:tbl>
    <w:p>
      <w:pPr>
        <w:spacing w:after="60" w:before="0"/>
      </w:pPr>
      <w:r>
        <w:t xml:space="preserve"/>
      </w:r>
    </w:p>
    <w:p>
      <w:pPr>
        <w:pStyle w:val="Heading2"/>
        <w:spacing w:after="80" w:before="280"/>
      </w:pPr>
      <w:r>
        <w:rPr>
          <w:rFonts w:ascii="Arial" w:cs="Arial" w:eastAsia="Arial" w:hAnsi="Arial"/>
          <w:b/>
          <w:bCs/>
          <w:color w:val="2E5BBA"/>
          <w:sz w:val="28"/>
          <w:szCs w:val="28"/>
        </w:rPr>
        <w:t xml:space="preserve">8.1  Required Evidence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Evidence Component</w:t>
            </w:r>
          </w:p>
        </w:tc>
        <w:tc>
          <w:tcPr>
            <w:tcW w:type="dxa" w:w="36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Shows</w:t>
            </w:r>
          </w:p>
        </w:tc>
        <w:tc>
          <w:tcPr>
            <w:tcW w:type="dxa" w:w="3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Source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Fused similarity score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Overall suspicion level with engine breakdown</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FusionEngine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Side-by-side diff</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Exactly which lines match between submissions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DiffGenerator (to build)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Rename map</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Systematic identifier renames: x→y in 14 places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normalizer (already tracked)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Submission timestamps</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Who submitted first — direction of copying</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Ingestion layer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Matched line count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23 of 27 AST nodes structurally identical</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similarity engine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Behavioural equivalence</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Identical outputs under N test cases</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ExecutionSimilarity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Normalisation log</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What was stripped before comparison (comments, whitespace)</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Pre-processing layer</w:t>
            </w:r>
          </w:p>
        </w:tc>
      </w:tr>
    </w:tbl>
    <w:p>
      <w:pPr>
        <w:spacing w:after="60" w:before="0"/>
      </w:pPr>
      <w:r>
        <w:t xml:space="preserve"/>
      </w:r>
    </w:p>
    <w:p>
      <w:pPr>
        <w:pStyle w:val="Heading2"/>
        <w:spacing w:after="80" w:before="280"/>
      </w:pPr>
      <w:r>
        <w:rPr>
          <w:rFonts w:ascii="Arial" w:cs="Arial" w:eastAsia="Arial" w:hAnsi="Arial"/>
          <w:b/>
          <w:bCs/>
          <w:color w:val="2E5BBA"/>
          <w:sz w:val="28"/>
          <w:szCs w:val="28"/>
        </w:rPr>
        <w:t xml:space="preserve">8.2  Example Finding Narrative (Professor View)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thick" w:color="7B4A00" w:sz="24"/>
              <w:bottom w:val="none" w:sz="0"/>
              <w:right w:val="none" w:sz="0"/>
            </w:tcBorders>
            <w:shd w:fill="FFF3CD" w:val="clear"/>
            <w:tcMar>
              <w:top w:type="dxa" w:w="100"/>
              <w:left w:type="dxa" w:w="140"/>
              <w:bottom w:type="dxa" w:w="100"/>
              <w:right w:type="dxa" w:w="140"/>
            </w:tcMar>
          </w:tcPr>
          <w:p>
            <w:pPr>
              <w:spacing w:after="60" w:before="0"/>
            </w:pPr>
            <w:r>
              <w:rPr>
                <w:rFonts w:ascii="Arial" w:cs="Arial" w:eastAsia="Arial" w:hAnsi="Arial"/>
                <w:b/>
                <w:bCs/>
                <w:color w:val="7B4A00"/>
                <w:sz w:val="20"/>
                <w:szCs w:val="20"/>
              </w:rPr>
              <w:t xml:space="preserve">Example: student_alice.py  ↔  student_bob.py  —  Fused Score: 94%</w:t>
            </w:r>
          </w:p>
          <w:p>
            <w:pPr>
              <w:spacing w:after="0" w:before="0"/>
            </w:pPr>
            <w:r>
              <w:rPr>
                <w:rFonts w:ascii="Arial" w:cs="Arial" w:eastAsia="Arial" w:hAnsi="Arial"/>
                <w:color w:val="555555"/>
                <w:sz w:val="20"/>
                <w:szCs w:val="20"/>
              </w:rPr>
              <w:t xml:space="preserve">After normalising variable names, 23 of 27 AST nodes are structurally identical. Bob's submission was received 3 days after Alice's. The following identifiers were systematically renamed: calculate()→compute(), nums→data, total→sum_val (14 occurrences). Under 8 generated test cases, both programs produced identical outputs. Winnowing fingerprint overlap: 91%. This combination of structural, semantic, and behavioural similarity is consistent with deliberate copying with identifier renaming.</w:t>
            </w:r>
          </w:p>
        </w:tc>
      </w:tr>
    </w:tbl>
    <w:p>
      <w:pPr>
        <w:spacing w:after="60" w:before="0"/>
      </w:pPr>
      <w:r>
        <w:t xml:space="preserve"/>
      </w:r>
    </w:p>
    <w:p>
      <w:pPr>
        <w:spacing w:after="60" w:before="0"/>
      </w:pPr>
      <w:r>
        <w:t xml:space="preserve"/>
      </w:r>
    </w:p>
    <w:p>
      <w:pPr>
        <w:spacing w:after="0" w:before="0"/>
      </w:pPr>
      <w:r>
        <w:br w:type="page"/>
      </w:r>
    </w:p>
    <w:p>
      <w:pPr>
        <w:pStyle w:val="Heading1"/>
        <w:pBdr>
          <w:bottom w:val="single" w:color="2E5BBA" w:sz="8" w:space="4"/>
        </w:pBdr>
        <w:spacing w:after="120" w:before="360"/>
      </w:pPr>
      <w:r>
        <w:rPr>
          <w:rFonts w:ascii="Arial" w:cs="Arial" w:eastAsia="Arial" w:hAnsi="Arial"/>
          <w:b/>
          <w:bCs/>
          <w:color w:val="1A1A2E"/>
          <w:sz w:val="36"/>
          <w:szCs w:val="36"/>
        </w:rPr>
        <w:t xml:space="preserve">9. Architecture</w:t>
      </w:r>
    </w:p>
    <w:p>
      <w:pPr>
        <w:pStyle w:val="Heading2"/>
        <w:spacing w:after="80" w:before="280"/>
      </w:pPr>
      <w:r>
        <w:rPr>
          <w:rFonts w:ascii="Arial" w:cs="Arial" w:eastAsia="Arial" w:hAnsi="Arial"/>
          <w:b/>
          <w:bCs/>
          <w:color w:val="2E5BBA"/>
          <w:sz w:val="28"/>
          <w:szCs w:val="28"/>
        </w:rPr>
        <w:t xml:space="preserve">9.1  Layer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3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Components</w:t>
            </w:r>
          </w:p>
        </w:tc>
        <w:tc>
          <w:tcPr>
            <w:tcW w:type="dxa" w:w="47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Responsibility</w:t>
            </w:r>
          </w:p>
        </w:tc>
      </w:tr>
      <w:tr>
        <w:tc>
          <w:tcPr>
            <w:tcW w:type="dxa" w:w="14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API</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routes/professor/, routes/committee/, schemas/</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HTTP endpoints, auth middleware, request validation</w:t>
            </w:r>
          </w:p>
        </w:tc>
      </w:tr>
      <w:tr>
        <w:tc>
          <w:tcPr>
            <w:tcW w:type="dxa" w:w="14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Application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professor_service.py, committee_service.py, detection_service.py</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Orchestrate use cases. Coordinate engines and domain.</w:t>
            </w:r>
          </w:p>
        </w:tc>
      </w:tr>
      <w:tr>
        <w:tc>
          <w:tcPr>
            <w:tcW w:type="dxa" w:w="14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Domain</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models.py (Case, Finding, Ruling), decision/, policy.py</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Business rules. Case FSM enforcement. Role permissions.</w:t>
            </w:r>
          </w:p>
        </w:tc>
      </w:tr>
      <w:tr>
        <w:tc>
          <w:tcPr>
            <w:tcW w:type="dxa" w:w="14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Engines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similarity/ (5 engines), scoring/fusion_engine.py</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Similarity computation. Stateless. No domain knowledge.</w:t>
            </w:r>
          </w:p>
        </w:tc>
      </w:tr>
      <w:tr>
        <w:tc>
          <w:tcPr>
            <w:tcW w:type="dxa" w:w="14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Infrastructure</w:t>
            </w:r>
          </w:p>
        </w:tc>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parsing/ (20+ languages), report_generator.py, db.py, git_analysis.py</w:t>
            </w:r>
          </w:p>
        </w:tc>
        <w:tc>
          <w:tcPr>
            <w:tcW w:type="dxa" w:w="4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I/O, persistence, file parsing, report generation.</w:t>
            </w:r>
          </w:p>
        </w:tc>
      </w:tr>
    </w:tbl>
    <w:p>
      <w:pPr>
        <w:spacing w:after="60" w:before="0"/>
      </w:pPr>
      <w:r>
        <w:t xml:space="preserve"/>
      </w:r>
    </w:p>
    <w:p>
      <w:pPr>
        <w:pStyle w:val="Heading2"/>
        <w:spacing w:after="80" w:before="280"/>
      </w:pPr>
      <w:r>
        <w:rPr>
          <w:rFonts w:ascii="Arial" w:cs="Arial" w:eastAsia="Arial" w:hAnsi="Arial"/>
          <w:b/>
          <w:bCs/>
          <w:color w:val="2E5BBA"/>
          <w:sz w:val="28"/>
          <w:szCs w:val="28"/>
        </w:rPr>
        <w:t xml:space="preserve">9.2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39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API Framework</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FastAPI + Python 3.12</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Async, high performance. Already in use.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Parsing</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Tree-sitter (20+ languages)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Already implemented.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Semantic Embeddings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UniXcoder (microsoft/unixcoder-base)</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Local GPU. Replaces OpenAI dependency.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Code Execution Sandbox</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Docker — network-off, memory-capped, read-only FS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Security-critical. Already implemented.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Task Queue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Celery + Redis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Batch N×N comparison runs async.</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Database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PostgreSQL 16 + pgvector</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Relational for cases/audit. pgvector for embedding cache.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GPU Inference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PyTorch + CUDA (university server)</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Single batch pass for N student embeddings.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Frontend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React 18 + TypeScript + Tailwind CSS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Professor and committee dashboards.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Report Export</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WeasyPrint (PDF) + self-contained HTML</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Tamper-evident case export for hearings.</w:t>
            </w:r>
          </w:p>
        </w:tc>
      </w:tr>
    </w:tbl>
    <w:p>
      <w:pPr>
        <w:spacing w:after="60" w:before="0"/>
      </w:pPr>
      <w:r>
        <w:t xml:space="preserve"/>
      </w:r>
    </w:p>
    <w:p>
      <w:pPr>
        <w:pStyle w:val="Heading2"/>
        <w:spacing w:after="80" w:before="280"/>
      </w:pPr>
      <w:r>
        <w:rPr>
          <w:rFonts w:ascii="Arial" w:cs="Arial" w:eastAsia="Arial" w:hAnsi="Arial"/>
          <w:b/>
          <w:bCs/>
          <w:color w:val="2E5BBA"/>
          <w:sz w:val="28"/>
          <w:szCs w:val="28"/>
        </w:rPr>
        <w:t xml:space="preserve">9.3  Security &amp; Privacy</w:t>
      </w:r>
    </w:p>
    <w:p>
      <w:pPr>
        <w:pStyle w:val="ListParagraph"/>
        <w:numPr>
          <w:ilvl w:val="0"/>
          <w:numId w:val="2"/>
        </w:numPr>
        <w:spacing w:after="80" w:before="0"/>
      </w:pPr>
      <w:r>
        <w:rPr>
          <w:rFonts w:ascii="Arial" w:cs="Arial" w:eastAsia="Arial" w:hAnsi="Arial"/>
          <w:color w:val="555555"/>
          <w:sz w:val="22"/>
          <w:szCs w:val="22"/>
        </w:rPr>
        <w:t xml:space="preserve">All student code encrypted at rest (AES-256)</w:t>
      </w:r>
    </w:p>
    <w:p>
      <w:pPr>
        <w:pStyle w:val="ListParagraph"/>
        <w:numPr>
          <w:ilvl w:val="0"/>
          <w:numId w:val="2"/>
        </w:numPr>
        <w:spacing w:after="80" w:before="0"/>
      </w:pPr>
      <w:r>
        <w:rPr>
          <w:rFonts w:ascii="Arial" w:cs="Arial" w:eastAsia="Arial" w:hAnsi="Arial"/>
          <w:color w:val="555555"/>
          <w:sz w:val="22"/>
          <w:szCs w:val="22"/>
        </w:rPr>
        <w:t xml:space="preserve">Submissions hashed on ingestion (SHA-256) — immutable chain of custody</w:t>
      </w:r>
    </w:p>
    <w:p>
      <w:pPr>
        <w:pStyle w:val="ListParagraph"/>
        <w:numPr>
          <w:ilvl w:val="0"/>
          <w:numId w:val="2"/>
        </w:numPr>
        <w:spacing w:after="80" w:before="0"/>
      </w:pPr>
      <w:r>
        <w:rPr>
          <w:rFonts w:ascii="Arial" w:cs="Arial" w:eastAsia="Arial" w:hAnsi="Arial"/>
          <w:color w:val="555555"/>
          <w:sz w:val="22"/>
          <w:szCs w:val="22"/>
        </w:rPr>
        <w:t xml:space="preserve">No external API calls for student data — UniXcoder runs on-premises</w:t>
      </w:r>
    </w:p>
    <w:p>
      <w:pPr>
        <w:pStyle w:val="ListParagraph"/>
        <w:numPr>
          <w:ilvl w:val="0"/>
          <w:numId w:val="2"/>
        </w:numPr>
        <w:spacing w:after="80" w:before="0"/>
      </w:pPr>
      <w:r>
        <w:rPr>
          <w:rFonts w:ascii="Arial" w:cs="Arial" w:eastAsia="Arial" w:hAnsi="Arial"/>
          <w:color w:val="555555"/>
          <w:sz w:val="22"/>
          <w:szCs w:val="22"/>
        </w:rPr>
        <w:t xml:space="preserve">Role-based access control: professors see own courses only, committee sees referred cases</w:t>
      </w:r>
    </w:p>
    <w:p>
      <w:pPr>
        <w:pStyle w:val="ListParagraph"/>
        <w:numPr>
          <w:ilvl w:val="0"/>
          <w:numId w:val="2"/>
        </w:numPr>
        <w:spacing w:after="80" w:before="0"/>
      </w:pPr>
      <w:r>
        <w:rPr>
          <w:rFonts w:ascii="Arial" w:cs="Arial" w:eastAsia="Arial" w:hAnsi="Arial"/>
          <w:color w:val="555555"/>
          <w:sz w:val="22"/>
          <w:szCs w:val="22"/>
        </w:rPr>
        <w:t xml:space="preserve">Execution sandbox: Docker with --network none, --memory 256m, --read-only, 10s timeout</w:t>
      </w:r>
    </w:p>
    <w:p>
      <w:pPr>
        <w:pStyle w:val="ListParagraph"/>
        <w:numPr>
          <w:ilvl w:val="0"/>
          <w:numId w:val="2"/>
        </w:numPr>
        <w:spacing w:after="80" w:before="0"/>
      </w:pPr>
      <w:r>
        <w:rPr>
          <w:rFonts w:ascii="Arial" w:cs="Arial" w:eastAsia="Arial" w:hAnsi="Arial"/>
          <w:color w:val="555555"/>
          <w:sz w:val="22"/>
          <w:szCs w:val="22"/>
        </w:rPr>
        <w:t xml:space="preserve">Full audit log on every case action — immutable, append-only</w:t>
      </w:r>
    </w:p>
    <w:p>
      <w:pPr>
        <w:pStyle w:val="ListParagraph"/>
        <w:numPr>
          <w:ilvl w:val="0"/>
          <w:numId w:val="2"/>
        </w:numPr>
        <w:spacing w:after="80" w:before="0"/>
      </w:pPr>
      <w:r>
        <w:rPr>
          <w:rFonts w:ascii="Arial" w:cs="Arial" w:eastAsia="Arial" w:hAnsi="Arial"/>
          <w:color w:val="555555"/>
          <w:sz w:val="22"/>
          <w:szCs w:val="22"/>
        </w:rPr>
        <w:t xml:space="preserve">PIPEDA compliant (Canadian university context) — data never leaves university network</w:t>
      </w:r>
    </w:p>
    <w:p>
      <w:pPr>
        <w:spacing w:after="60" w:before="0"/>
      </w:pPr>
      <w:r>
        <w:t xml:space="preserve"/>
      </w:r>
    </w:p>
    <w:p>
      <w:pPr>
        <w:spacing w:after="60" w:before="0"/>
      </w:pPr>
      <w:r>
        <w:t xml:space="preserve"/>
      </w:r>
    </w:p>
    <w:p>
      <w:pPr>
        <w:spacing w:after="0" w:before="0"/>
      </w:pPr>
      <w:r>
        <w:br w:type="page"/>
      </w:r>
    </w:p>
    <w:p>
      <w:pPr>
        <w:pStyle w:val="Heading1"/>
        <w:pBdr>
          <w:bottom w:val="single" w:color="2E5BBA" w:sz="8" w:space="4"/>
        </w:pBdr>
        <w:spacing w:after="120" w:before="360"/>
      </w:pPr>
      <w:r>
        <w:rPr>
          <w:rFonts w:ascii="Arial" w:cs="Arial" w:eastAsia="Arial" w:hAnsi="Arial"/>
          <w:b/>
          <w:bCs/>
          <w:color w:val="1A1A2E"/>
          <w:sz w:val="36"/>
          <w:szCs w:val="36"/>
        </w:rPr>
        <w:t xml:space="preserve">10. Development Roadmap</w:t>
      </w:r>
    </w:p>
    <w:p>
      <w:pPr>
        <w:pStyle w:val="Heading2"/>
        <w:spacing w:after="80" w:before="280"/>
      </w:pPr>
      <w:r>
        <w:rPr>
          <w:rFonts w:ascii="Arial" w:cs="Arial" w:eastAsia="Arial" w:hAnsi="Arial"/>
          <w:b/>
          <w:bCs/>
          <w:color w:val="2E5BBA"/>
          <w:sz w:val="28"/>
          <w:szCs w:val="28"/>
        </w:rPr>
        <w:t xml:space="preserve">Phase 1 — Evidence Layer  (Current Sprint)</w:t>
      </w:r>
    </w:p>
    <w:p>
      <w:pPr>
        <w:spacing w:after="140" w:before="0"/>
      </w:pPr>
      <w:r>
        <w:rPr>
          <w:rFonts w:ascii="Arial" w:cs="Arial" w:eastAsia="Arial" w:hAnsi="Arial"/>
          <w:color w:val="555555"/>
          <w:sz w:val="22"/>
          <w:szCs w:val="22"/>
        </w:rPr>
        <w:t xml:space="preserve">Goal: Turn similarity scores into professor-usable evidence. This is what the commissioned professors need immediately.</w:t>
      </w:r>
    </w:p>
    <w:p>
      <w:pPr>
        <w:spacing w:after="60" w:before="0"/>
      </w:pPr>
      <w:r>
        <w:t xml:space="preserve"/>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1B6B3A"/>
          <w:sz w:val="22"/>
          <w:szCs w:val="22"/>
        </w:rPr>
        <w:t xml:space="preserve">UniXcoder local GPU model (replaces OpenAI API)</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1B6B3A"/>
          <w:sz w:val="22"/>
          <w:szCs w:val="22"/>
        </w:rPr>
        <w:t xml:space="preserve">Batch all-pairs comparison via similarity_matrix()</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Side-by-side diff view with matched line highlighting</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Rename detection report (identifier map from AST normaliser)</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Submission timestamp ordering in results</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Case domain model (Case, Finding, Ruling, AuditLog)</w:t>
      </w:r>
    </w:p>
    <w:p>
      <w:pPr>
        <w:spacing w:after="60" w:before="0"/>
      </w:pPr>
      <w:r>
        <w:t xml:space="preserve"/>
      </w:r>
    </w:p>
    <w:p>
      <w:pPr>
        <w:pStyle w:val="Heading2"/>
        <w:spacing w:after="80" w:before="280"/>
      </w:pPr>
      <w:r>
        <w:rPr>
          <w:rFonts w:ascii="Arial" w:cs="Arial" w:eastAsia="Arial" w:hAnsi="Arial"/>
          <w:b/>
          <w:bCs/>
          <w:color w:val="2E5BBA"/>
          <w:sz w:val="28"/>
          <w:szCs w:val="28"/>
        </w:rPr>
        <w:t xml:space="preserve">Phase 2 — Professor &amp; Committee Services  (Q2 2026)</w:t>
      </w:r>
    </w:p>
    <w:p>
      <w:pPr>
        <w:spacing w:after="140" w:before="0"/>
      </w:pPr>
      <w:r>
        <w:rPr>
          <w:rFonts w:ascii="Arial" w:cs="Arial" w:eastAsia="Arial" w:hAnsi="Arial"/>
          <w:color w:val="555555"/>
          <w:sz w:val="22"/>
          <w:szCs w:val="22"/>
        </w:rPr>
        <w:t xml:space="preserve">Goal: Full workflow for both user roles. System is usable end-to-end by the commissioning department.</w:t>
      </w:r>
    </w:p>
    <w:p>
      <w:pPr>
        <w:spacing w:after="60" w:before="0"/>
      </w:pPr>
      <w:r>
        <w:t xml:space="preserve"/>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Professor dashboard with refer/dismiss workflow</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Committee dashboard with case queue</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PDF case export (tamper-evident, methodology included)</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Ruling form with mandatory structured fields</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Audit trail view per case</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Assignment type tagging with auto-weight adjustment</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Git history analysis wired into evidence package</w:t>
      </w:r>
    </w:p>
    <w:p>
      <w:pPr>
        <w:spacing w:after="60" w:before="0"/>
      </w:pPr>
      <w:r>
        <w:t xml:space="preserve"/>
      </w:r>
    </w:p>
    <w:p>
      <w:pPr>
        <w:pStyle w:val="Heading2"/>
        <w:spacing w:after="80" w:before="280"/>
      </w:pPr>
      <w:r>
        <w:rPr>
          <w:rFonts w:ascii="Arial" w:cs="Arial" w:eastAsia="Arial" w:hAnsi="Arial"/>
          <w:b/>
          <w:bCs/>
          <w:color w:val="2E5BBA"/>
          <w:sz w:val="28"/>
          <w:szCs w:val="28"/>
        </w:rPr>
        <w:t xml:space="preserve">Phase 3 — Intelligence Layer  (Q3 2026)</w:t>
      </w:r>
    </w:p>
    <w:p>
      <w:pPr>
        <w:spacing w:after="140" w:before="0"/>
      </w:pPr>
      <w:r>
        <w:rPr>
          <w:rFonts w:ascii="Arial" w:cs="Arial" w:eastAsia="Arial" w:hAnsi="Arial"/>
          <w:color w:val="555555"/>
          <w:sz w:val="22"/>
          <w:szCs w:val="22"/>
        </w:rPr>
        <w:t xml:space="preserve">Goal: Reduce false positives and catch more sophisticated evasion.</w:t>
      </w:r>
    </w:p>
    <w:p>
      <w:pPr>
        <w:spacing w:after="60" w:before="0"/>
      </w:pPr>
      <w:r>
        <w:t xml:space="preserve"/>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AI-generated code detection (perplexity + burstiness)</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ML-based anomaly detection across submission pool</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Appeal management workflow</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Plagiarism chain visualisation (A copied B who copied C)</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LMS integration (Moodle / Canvas submission sync)</w:t>
      </w:r>
    </w:p>
    <w:p>
      <w:pPr>
        <w:spacing w:after="60" w:before="0"/>
      </w:pPr>
      <w:r>
        <w:t xml:space="preserve"/>
      </w:r>
    </w:p>
    <w:p>
      <w:pPr>
        <w:pStyle w:val="Heading2"/>
        <w:spacing w:after="80" w:before="280"/>
      </w:pPr>
      <w:r>
        <w:rPr>
          <w:rFonts w:ascii="Arial" w:cs="Arial" w:eastAsia="Arial" w:hAnsi="Arial"/>
          <w:b/>
          <w:bCs/>
          <w:color w:val="2E5BBA"/>
          <w:sz w:val="28"/>
          <w:szCs w:val="28"/>
        </w:rPr>
        <w:t xml:space="preserve">Phase 4 — Institutional Expansion  (Q4 2026)</w:t>
      </w:r>
    </w:p>
    <w:p>
      <w:pPr>
        <w:spacing w:after="140" w:before="0"/>
      </w:pPr>
      <w:r>
        <w:rPr>
          <w:rFonts w:ascii="Arial" w:cs="Arial" w:eastAsia="Arial" w:hAnsi="Arial"/>
          <w:color w:val="555555"/>
          <w:sz w:val="22"/>
          <w:szCs w:val="22"/>
        </w:rPr>
        <w:t xml:space="preserve">Goal: Deploy beyond the commissioning department to the full university.</w:t>
      </w:r>
    </w:p>
    <w:p>
      <w:pPr>
        <w:spacing w:after="60" w:before="0"/>
      </w:pPr>
      <w:r>
        <w:t xml:space="preserve"/>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University SSO / LDAP integration</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Multi-department RBAC</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Internet reference corpus (local GitHub mirror)</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White-label config (SYSTEM_NAME, UNIVERSITY_NAME from env)</w:t>
      </w:r>
    </w:p>
    <w:p>
      <w:pPr>
        <w:pStyle w:val="ListParagraph"/>
        <w:numPr>
          <w:ilvl w:val="0"/>
          <w:numId w:val="2"/>
        </w:numPr>
        <w:spacing w:after="80" w:before="0"/>
      </w:pPr>
      <w:r>
        <w:rPr>
          <w:rFonts w:ascii="Arial" w:cs="Arial" w:eastAsia="Arial" w:hAnsi="Arial"/>
          <w:sz w:val="22"/>
          <w:szCs w:val="22"/>
        </w:rPr>
        <w:t xml:space="preserve">⬜  </w:t>
      </w:r>
      <w:r>
        <w:rPr>
          <w:rFonts w:ascii="Arial" w:cs="Arial" w:eastAsia="Arial" w:hAnsi="Arial"/>
          <w:color w:val="555555"/>
          <w:sz w:val="22"/>
          <w:szCs w:val="22"/>
        </w:rPr>
        <w:t xml:space="preserve">GDPR / FERPA compliance module</w:t>
      </w:r>
    </w:p>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11. What Not to Build (Explicitly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thick" w:color="2E5BBA" w:sz="24"/>
              <w:bottom w:val="none" w:sz="0"/>
              <w:right w:val="none" w:sz="0"/>
            </w:tcBorders>
            <w:shd w:fill="EEF3FB" w:val="clear"/>
            <w:tcMar>
              <w:top w:type="dxa" w:w="100"/>
              <w:left w:type="dxa" w:w="140"/>
              <w:bottom w:type="dxa" w:w="100"/>
              <w:right w:type="dxa" w:w="140"/>
            </w:tcMar>
          </w:tcPr>
          <w:p>
            <w:pPr>
              <w:spacing w:after="60" w:before="0"/>
            </w:pPr>
            <w:r>
              <w:rPr>
                <w:rFonts w:ascii="Arial" w:cs="Arial" w:eastAsia="Arial" w:hAnsi="Arial"/>
                <w:b/>
                <w:bCs/>
                <w:color w:val="2E5BBA"/>
                <w:sz w:val="20"/>
                <w:szCs w:val="20"/>
              </w:rPr>
              <w:t xml:space="preserve">Scope Discipline</w:t>
            </w:r>
          </w:p>
          <w:p>
            <w:pPr>
              <w:spacing w:after="0" w:before="0"/>
            </w:pPr>
            <w:r>
              <w:rPr>
                <w:rFonts w:ascii="Arial" w:cs="Arial" w:eastAsia="Arial" w:hAnsi="Arial"/>
                <w:color w:val="555555"/>
                <w:sz w:val="20"/>
                <w:szCs w:val="20"/>
              </w:rPr>
              <w:t xml:space="preserve">The original PRD included several features that are not appropriate for a university CS department system at this stage. These are explicitly deferred to avoid scope creep that delays delivery to the commissioning professors.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61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Why Deferred</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Zhang-Shasha full TED algorithm</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O(n³) complexity. Simplified TED already accurate enough for CS assignments. Revisit only if scoring feels wrong on real data.</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Graph / subgraph isomorphism</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NP-hard in general case. Current AST + CFG comparison gives sufficient signal.</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Public cloud AI APIs (OpenAI etc.)</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Student code is educational record. Cannot leave university network. UniXcoder runs locally.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Global code database (GitHub mirror)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Requires significant infrastructure. High false-positive risk on boilerplate. Phase 4 at earliest.</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Auto-adjudication / auto-guilty</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Never. System surfaces evidence. Humans decide. A wrongly accused student who knows their code will destroy system credibility.</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B2B SaaS / paid tiers / white-label</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This is a commissioned university system, not a product. Commercial features are distraction at this stage.</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Keystroke / typing dynamics analysis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Invasive, legally questionable for student monitoring. Not appropriate for academic integrity context.</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12. Competitive Context</w:t>
      </w:r>
    </w:p>
    <w:p>
      <w:pPr>
        <w:spacing w:after="140" w:before="0"/>
      </w:pPr>
      <w:r>
        <w:rPr>
          <w:rFonts w:ascii="Arial" w:cs="Arial" w:eastAsia="Arial" w:hAnsi="Arial"/>
          <w:color w:val="555555"/>
          <w:sz w:val="22"/>
          <w:szCs w:val="22"/>
        </w:rPr>
        <w:t xml:space="preserve">IntegrityDesk's key differentiators versus existing tools used in academic settings:</w:t>
      </w:r>
    </w:p>
    <w:p>
      <w:pPr>
        <w:spacing w:after="60" w:before="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700"/>
        <w:gridCol w:w="1700"/>
        <w:gridCol w:w="170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1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IntegrityDesk</w:t>
            </w:r>
          </w:p>
        </w:tc>
        <w:tc>
          <w:tcPr>
            <w:tcW w:type="dxa" w:w="1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MOSS</w:t>
            </w:r>
          </w:p>
        </w:tc>
        <w:tc>
          <w:tcPr>
            <w:tcW w:type="dxa" w:w="1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Turnitin</w:t>
            </w:r>
          </w:p>
        </w:tc>
        <w:tc>
          <w:tcPr>
            <w:tcW w:type="dxa" w:w="17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Copyleaks</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AST structural analysis</w:t>
            </w:r>
          </w:p>
        </w:tc>
        <w:tc>
          <w:tcPr>
            <w:tcW w:type="dxa" w:w="170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Full</w:t>
            </w:r>
          </w:p>
        </w:tc>
        <w:tc>
          <w:tcPr>
            <w:tcW w:type="dxa" w:w="17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tcPr>
          <w:p>
            <w:r>
              <w:rPr>
                <w:rFonts w:ascii="Arial" w:cs="Arial" w:eastAsia="Arial" w:hAnsi="Arial"/>
                <w:b/>
                <w:bCs/>
                <w:color w:val="7B4A00"/>
                <w:sz w:val="20"/>
                <w:szCs w:val="20"/>
              </w:rPr>
              <w:t xml:space="preserve">⚠️  Basic</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tcPr>
          <w:p>
            <w:r>
              <w:rPr>
                <w:rFonts w:ascii="Arial" w:cs="Arial" w:eastAsia="Arial" w:hAnsi="Arial"/>
                <w:b/>
                <w:bCs/>
                <w:color w:val="7B4A00"/>
                <w:sz w:val="20"/>
                <w:szCs w:val="20"/>
              </w:rPr>
              <w:t xml:space="preserve">⚠️  Basic</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Semantic (code-aware) embeddings</w:t>
            </w:r>
          </w:p>
        </w:tc>
        <w:tc>
          <w:tcPr>
            <w:tcW w:type="dxa" w:w="170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UniXcoder (local)</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tcPr>
          <w:p>
            <w:r>
              <w:rPr>
                <w:rFonts w:ascii="Arial" w:cs="Arial" w:eastAsia="Arial" w:hAnsi="Arial"/>
                <w:b/>
                <w:bCs/>
                <w:color w:val="7B4A00"/>
                <w:sz w:val="20"/>
                <w:szCs w:val="20"/>
              </w:rPr>
              <w:t xml:space="preserve">⚠️  General LLM</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Behavioural execution similarity</w:t>
            </w:r>
          </w:p>
        </w:tc>
        <w:tc>
          <w:tcPr>
            <w:tcW w:type="dxa" w:w="170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Yes (sandboxed)</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Case management workflow</w:t>
            </w:r>
          </w:p>
        </w:tc>
        <w:tc>
          <w:tcPr>
            <w:tcW w:type="dxa" w:w="17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Full (Phase 2)</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tcPr>
          <w:p>
            <w:r>
              <w:rPr>
                <w:rFonts w:ascii="Arial" w:cs="Arial" w:eastAsia="Arial" w:hAnsi="Arial"/>
                <w:b/>
                <w:bCs/>
                <w:color w:val="7B4A00"/>
                <w:sz w:val="20"/>
                <w:szCs w:val="20"/>
              </w:rPr>
              <w:t xml:space="preserve">⚠️  Basic</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Student data stays on-premises</w:t>
            </w:r>
          </w:p>
        </w:tc>
        <w:tc>
          <w:tcPr>
            <w:tcW w:type="dxa" w:w="170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Yes (required)</w:t>
            </w:r>
          </w:p>
        </w:tc>
        <w:tc>
          <w:tcPr>
            <w:tcW w:type="dxa" w:w="170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Yes</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 (cloud)</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 (cloud)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Audit trail for appeals</w:t>
            </w:r>
          </w:p>
        </w:tc>
        <w:tc>
          <w:tcPr>
            <w:tcW w:type="dxa" w:w="17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2E5BBA"/>
                <w:sz w:val="20"/>
                <w:szCs w:val="20"/>
              </w:rPr>
              <w:t xml:space="preserve">🔲 Full (Phase 2)</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tcPr>
          <w:p>
            <w:r>
              <w:rPr>
                <w:rFonts w:ascii="Arial" w:cs="Arial" w:eastAsia="Arial" w:hAnsi="Arial"/>
                <w:b/>
                <w:bCs/>
                <w:color w:val="7B4A00"/>
                <w:sz w:val="20"/>
                <w:szCs w:val="20"/>
              </w:rPr>
              <w:t xml:space="preserve">⚠️  Limited</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Git history analysis</w:t>
            </w:r>
          </w:p>
        </w:tc>
        <w:tc>
          <w:tcPr>
            <w:tcW w:type="dxa" w:w="1700"/>
            <w:tcBorders>
              <w:top w:val="single" w:color="DDDDDD" w:sz="1"/>
              <w:left w:val="single" w:color="DDDDDD" w:sz="1"/>
              <w:bottom w:val="single" w:color="DDDDDD" w:sz="1"/>
              <w:right w:val="single" w:color="DDDDDD" w:sz="1"/>
            </w:tcBorders>
            <w:shd w:fill="FFF3CD" w:val="clear"/>
            <w:tcMar>
              <w:top w:type="dxa" w:w="100"/>
              <w:left w:type="dxa" w:w="140"/>
              <w:bottom w:type="dxa" w:w="100"/>
              <w:right w:type="dxa" w:w="140"/>
            </w:tcMar>
          </w:tcPr>
          <w:p>
            <w:r>
              <w:rPr>
                <w:rFonts w:ascii="Arial" w:cs="Arial" w:eastAsia="Arial" w:hAnsi="Arial"/>
                <w:b/>
                <w:bCs/>
                <w:color w:val="7B4A00"/>
                <w:sz w:val="20"/>
                <w:szCs w:val="20"/>
              </w:rPr>
              <w:t xml:space="preserve">⚠️  In codebase</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None</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Open source core</w:t>
            </w:r>
          </w:p>
        </w:tc>
        <w:tc>
          <w:tcPr>
            <w:tcW w:type="dxa" w:w="1700"/>
            <w:tcBorders>
              <w:top w:val="single" w:color="DDDDDD" w:sz="1"/>
              <w:left w:val="single" w:color="DDDDDD" w:sz="1"/>
              <w:bottom w:val="single" w:color="DDDDDD" w:sz="1"/>
              <w:right w:val="single" w:color="DDDDDD" w:sz="1"/>
            </w:tcBorders>
            <w:shd w:fill="D9EFE3" w:val="clear"/>
            <w:tcMar>
              <w:top w:type="dxa" w:w="100"/>
              <w:left w:type="dxa" w:w="140"/>
              <w:bottom w:type="dxa" w:w="100"/>
              <w:right w:type="dxa" w:w="140"/>
            </w:tcMar>
          </w:tcPr>
          <w:p>
            <w:r>
              <w:rPr>
                <w:rFonts w:ascii="Arial" w:cs="Arial" w:eastAsia="Arial" w:hAnsi="Arial"/>
                <w:b/>
                <w:bCs/>
                <w:color w:val="1B6B3A"/>
                <w:sz w:val="20"/>
                <w:szCs w:val="20"/>
              </w:rPr>
              <w:t xml:space="preserve">✅ Yes (MIT)</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w:t>
            </w:r>
          </w:p>
        </w:tc>
        <w:tc>
          <w:tcPr>
            <w:tcW w:type="dxa" w:w="1700"/>
            <w:tcBorders>
              <w:top w:val="single" w:color="DDDDDD" w:sz="1"/>
              <w:left w:val="single" w:color="DDDDDD" w:sz="1"/>
              <w:bottom w:val="single" w:color="DDDDDD" w:sz="1"/>
              <w:right w:val="single" w:color="DDDDDD" w:sz="1"/>
            </w:tcBorders>
            <w:shd w:fill="FDECEA" w:val="clear"/>
            <w:tcMar>
              <w:top w:type="dxa" w:w="100"/>
              <w:left w:type="dxa" w:w="140"/>
              <w:bottom w:type="dxa" w:w="100"/>
              <w:right w:type="dxa" w:w="140"/>
            </w:tcMar>
          </w:tcPr>
          <w:p>
            <w:r>
              <w:rPr>
                <w:rFonts w:ascii="Arial" w:cs="Arial" w:eastAsia="Arial" w:hAnsi="Arial"/>
                <w:b/>
                <w:bCs/>
                <w:color w:val="B22222"/>
                <w:sz w:val="20"/>
                <w:szCs w:val="20"/>
              </w:rPr>
              <w:t xml:space="preserve">❌ No</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13. Accuracy &amp;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thick" w:color="7B4A00" w:sz="24"/>
              <w:bottom w:val="none" w:sz="0"/>
              <w:right w:val="none" w:sz="0"/>
            </w:tcBorders>
            <w:shd w:fill="FFF3CD" w:val="clear"/>
            <w:tcMar>
              <w:top w:type="dxa" w:w="100"/>
              <w:left w:type="dxa" w:w="140"/>
              <w:bottom w:type="dxa" w:w="100"/>
              <w:right w:type="dxa" w:w="140"/>
            </w:tcMar>
          </w:tcPr>
          <w:p>
            <w:pPr>
              <w:spacing w:after="60" w:before="0"/>
            </w:pPr>
            <w:r>
              <w:rPr>
                <w:rFonts w:ascii="Arial" w:cs="Arial" w:eastAsia="Arial" w:hAnsi="Arial"/>
                <w:b/>
                <w:bCs/>
                <w:color w:val="7B4A00"/>
                <w:sz w:val="20"/>
                <w:szCs w:val="20"/>
              </w:rPr>
              <w:t xml:space="preserve">On False Positive Rate</w:t>
            </w:r>
          </w:p>
          <w:p>
            <w:pPr>
              <w:spacing w:after="0" w:before="0"/>
            </w:pPr>
            <w:r>
              <w:rPr>
                <w:rFonts w:ascii="Arial" w:cs="Arial" w:eastAsia="Arial" w:hAnsi="Arial"/>
                <w:color w:val="555555"/>
                <w:sz w:val="20"/>
                <w:szCs w:val="20"/>
              </w:rPr>
              <w:t xml:space="preserve">A &lt;1% false positive rate is aspirational but must be validated against real CS assignment data, not just BigCloneBench. BigCloneBench was built from open-source Java projects — it does not represent student assignment plagiarism patterns. Real-world tuning against actual flagged cases is required before publishing accuracy claims.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c>
          <w:tcPr>
            <w:tcW w:type="dxa" w:w="39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Validation Method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False Positive Rate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2% on CS student assignments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Manual review of 100 flagged pairs per course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False Negative Rate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5% on known-copied pairs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Synthetic test set with known plagiarism patterns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Batch processing (30 students)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2 minutes end-to-end</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Benchmark on university GPU server</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Batch processing (200 students)</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15 minutes end-to-end</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Celery distributed processing benchmark</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Diff view load time</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1 second per pair</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Browser performance profiling</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Case export (PDF)</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&lt; 5 seconds</w:t>
            </w:r>
          </w:p>
        </w:tc>
        <w:tc>
          <w:tcPr>
            <w:tcW w:type="dxa" w:w="3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WeasyPrint benchmark</w:t>
            </w:r>
          </w:p>
        </w:tc>
      </w:tr>
    </w:tbl>
    <w:p>
      <w:pPr>
        <w:spacing w:after="60" w:before="0"/>
      </w:pPr>
      <w:r>
        <w:t xml:space="preserve"/>
      </w:r>
    </w:p>
    <w:p>
      <w:pPr>
        <w:spacing w:after="60" w:before="0"/>
      </w:pPr>
      <w:r>
        <w:t xml:space="preserve"/>
      </w:r>
    </w:p>
    <w:p>
      <w:pPr>
        <w:pStyle w:val="Heading1"/>
        <w:pBdr>
          <w:bottom w:val="single" w:color="2E5BBA" w:sz="8" w:space="4"/>
        </w:pBdr>
        <w:spacing w:after="120" w:before="360"/>
      </w:pPr>
      <w:r>
        <w:rPr>
          <w:rFonts w:ascii="Arial" w:cs="Arial" w:eastAsia="Arial" w:hAnsi="Arial"/>
          <w:b/>
          <w:bCs/>
          <w:color w:val="1A1A2E"/>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7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AST</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Abstract Syntax Tree — a parsed, language-agnostic tree representation of source code structure.</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CFG</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Control Flow Graph — graph of execution paths through a program.</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Winnowing</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Fingerprinting algorithm using k-gram hashing and minimum hash selection. Basis of MOSS.</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UniXcoder</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microsoft/unixcoder-base — a transformer model pre-trained on code for similarity and search tasks. Runs locally on GPU.</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Fused Score</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Weighted combination of all engine scores. Single number representing overall suspicion level.</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Finding</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 detection result for a pair of submissions — scores, engine breakdown, and structured evidence.</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Case</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A finding that has been reviewed by a professor and either dismissed or referred to the committee.</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Ruling</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Committee decision on a case: VIOLATION or NO_VIOLATION, with sanction and written rationale.</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PIPEDA</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Personal Information Protection and Electronic Documents Act — Canadian federal privacy law governing student records.</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False Positive</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Legitimate, independent code flagged as plagiarism. Most damaging failure mode — destroys system credibility.</w:t>
            </w:r>
          </w:p>
        </w:tc>
      </w:tr>
      <w:tr>
        <w:tc>
          <w:tcPr>
            <w:tcW w:type="dxa" w:w="2000"/>
            <w:tcBorders>
              <w:top w:val="single" w:color="DDDDDD" w:sz="1"/>
              <w:left w:val="single" w:color="DDDDDD" w:sz="1"/>
              <w:bottom w:val="single" w:color="DDDDDD" w:sz="1"/>
              <w:right w:val="single" w:color="DDDDDD" w:sz="1"/>
            </w:tcBorders>
            <w:shd w:fill="EEF3FB" w:val="clear"/>
            <w:tcMar>
              <w:top w:type="dxa" w:w="100"/>
              <w:left w:type="dxa" w:w="140"/>
              <w:bottom w:type="dxa" w:w="100"/>
              <w:right w:type="dxa" w:w="140"/>
            </w:tcMar>
          </w:tcPr>
          <w:p>
            <w:r>
              <w:rPr>
                <w:rFonts w:ascii="Arial" w:cs="Arial" w:eastAsia="Arial" w:hAnsi="Arial"/>
                <w:b/>
                <w:bCs/>
                <w:color w:val="1A1A2E"/>
                <w:sz w:val="20"/>
                <w:szCs w:val="20"/>
              </w:rPr>
              <w:t xml:space="preserve">Type 4 Clone</w:t>
            </w:r>
          </w:p>
        </w:tc>
        <w:tc>
          <w:tcPr>
            <w:tcW w:type="dxa" w:w="7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b w:val="false"/>
                <w:bCs w:val="false"/>
                <w:color w:val="555555"/>
                <w:sz w:val="20"/>
                <w:szCs w:val="20"/>
              </w:rPr>
              <w:t xml:space="preserve">Semantically equivalent code with different syntax — e.g. for loop rewritten as while loop. Caught by execution similarity.</w:t>
            </w:r>
          </w:p>
        </w:tc>
      </w:tr>
    </w:tbl>
    <w:p>
      <w:pPr>
        <w:spacing w:after="60" w:before="0"/>
      </w:pPr>
      <w:r>
        <w:t xml:space="preserve"/>
      </w:r>
    </w:p>
    <w:p>
      <w:pPr>
        <w:spacing w:after="60" w:before="0"/>
      </w:pPr>
      <w:r>
        <w:t xml:space="preserve"/>
      </w:r>
    </w:p>
    <w:p>
      <w:pPr>
        <w:pBdr>
          <w:bottom w:val="single" w:color="DDDDDD" w:sz="4" w:space="1"/>
        </w:pBdr>
        <w:spacing w:after="0" w:before="0"/>
      </w:pPr>
      <w:r>
        <w:t xml:space="preserve"/>
      </w:r>
    </w:p>
    <w:p>
      <w:pPr>
        <w:spacing w:after="60" w:before="0"/>
      </w:pPr>
      <w:r>
        <w:t xml:space="preserve"/>
      </w:r>
    </w:p>
    <w:p>
      <w:pPr>
        <w:jc w:val="center"/>
      </w:pPr>
      <w:r>
        <w:rPr>
          <w:rFonts w:ascii="Arial" w:cs="Arial" w:eastAsia="Arial" w:hAnsi="Arial"/>
          <w:color w:val="AAAAAA"/>
          <w:sz w:val="18"/>
          <w:szCs w:val="18"/>
        </w:rPr>
        <w:t xml:space="preserve">IntegrityDesk  |  Commissioned by CS Department  |  github.com/tianzesun/CodeProvenance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BB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2026-04-01T04:11:57.498Z</dcterms:created>
  <dcterms:modified xsi:type="dcterms:W3CDTF">2026-04-01T04:11:57.499Z</dcterms:modified>
</cp:coreProperties>
</file>

<file path=docProps/custom.xml><?xml version="1.0" encoding="utf-8"?>
<Properties xmlns="http://schemas.openxmlformats.org/officeDocument/2006/custom-properties" xmlns:vt="http://schemas.openxmlformats.org/officeDocument/2006/docPropsVTypes"/>
</file>