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46141" w14:textId="3E4D3F2F" w:rsidR="001311A2" w:rsidRPr="001311A2" w:rsidRDefault="001311A2" w:rsidP="001311A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311A2">
        <w:rPr>
          <w:rFonts w:ascii="Times New Roman" w:eastAsia="Times New Roman" w:hAnsi="Times New Roman" w:cs="Times New Roman"/>
          <w:b/>
          <w:bCs/>
          <w:kern w:val="36"/>
          <w:sz w:val="48"/>
          <w:szCs w:val="48"/>
          <w14:ligatures w14:val="none"/>
        </w:rPr>
        <w:t xml:space="preserve">ISEYAA </w:t>
      </w:r>
    </w:p>
    <w:p w14:paraId="08CBBAC6" w14:textId="77777777" w:rsidR="001311A2" w:rsidRPr="001311A2" w:rsidRDefault="001311A2" w:rsidP="00131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1A2">
        <w:rPr>
          <w:rFonts w:ascii="Times New Roman" w:eastAsia="Times New Roman" w:hAnsi="Times New Roman" w:cs="Times New Roman"/>
          <w:b/>
          <w:bCs/>
          <w:kern w:val="0"/>
          <w:sz w:val="36"/>
          <w:szCs w:val="36"/>
          <w14:ligatures w14:val="none"/>
        </w:rPr>
        <w:t>The Technical Architecture I've Built</w:t>
      </w:r>
    </w:p>
    <w:p w14:paraId="0AC8F036" w14:textId="77777777" w:rsidR="001311A2" w:rsidRPr="001311A2" w:rsidRDefault="001311A2" w:rsidP="00131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A2">
        <w:rPr>
          <w:rFonts w:ascii="Times New Roman" w:eastAsia="Times New Roman" w:hAnsi="Times New Roman" w:cs="Times New Roman"/>
          <w:b/>
          <w:bCs/>
          <w:kern w:val="0"/>
          <w:sz w:val="27"/>
          <w:szCs w:val="27"/>
          <w14:ligatures w14:val="none"/>
        </w:rPr>
        <w:t>The Stack Decision</w:t>
      </w:r>
    </w:p>
    <w:p w14:paraId="59B3F685"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 xml:space="preserve">Your PRD v2.0 specifies NestJS as the primary backend and Flutter for mobile. Your instruction asked for FastAPI (Python) and React Native/Expo. I resolved this without conflict: </w:t>
      </w:r>
      <w:r w:rsidRPr="001311A2">
        <w:rPr>
          <w:rFonts w:ascii="Times New Roman" w:eastAsia="Times New Roman" w:hAnsi="Times New Roman" w:cs="Times New Roman"/>
          <w:b/>
          <w:bCs/>
          <w:kern w:val="0"/>
          <w14:ligatures w14:val="none"/>
        </w:rPr>
        <w:t>FastAPI serves as the AI/Python microservice layer</w:t>
      </w:r>
      <w:r w:rsidRPr="001311A2">
        <w:rPr>
          <w:rFonts w:ascii="Times New Roman" w:eastAsia="Times New Roman" w:hAnsi="Times New Roman" w:cs="Times New Roman"/>
          <w:kern w:val="0"/>
          <w14:ligatures w14:val="none"/>
        </w:rPr>
        <w:t xml:space="preserve"> — the AI orchestrator, the LGA Intelligence Service, and analytics workloads — while the path to NestJS for transactional services is documented in ADR-001 and scheduled for Sprint 2. This is architecturally clean because Python is the only sensible language for the MAS layer anyway.</w:t>
      </w:r>
    </w:p>
    <w:p w14:paraId="68054147" w14:textId="77777777" w:rsidR="001311A2" w:rsidRPr="001311A2" w:rsidRDefault="001311A2" w:rsidP="00131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A2">
        <w:rPr>
          <w:rFonts w:ascii="Times New Roman" w:eastAsia="Times New Roman" w:hAnsi="Times New Roman" w:cs="Times New Roman"/>
          <w:b/>
          <w:bCs/>
          <w:kern w:val="0"/>
          <w:sz w:val="27"/>
          <w:szCs w:val="27"/>
          <w14:ligatures w14:val="none"/>
        </w:rPr>
        <w:t>The Infrastructure Foundation</w:t>
      </w:r>
    </w:p>
    <w:p w14:paraId="2CA62F63"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 xml:space="preserve">Everything runs on </w:t>
      </w:r>
      <w:r w:rsidRPr="001311A2">
        <w:rPr>
          <w:rFonts w:ascii="Times New Roman" w:eastAsia="Times New Roman" w:hAnsi="Times New Roman" w:cs="Times New Roman"/>
          <w:b/>
          <w:bCs/>
          <w:kern w:val="0"/>
          <w14:ligatures w14:val="none"/>
        </w:rPr>
        <w:t>AWS af-south-1 (Cape Town)</w:t>
      </w:r>
      <w:r w:rsidRPr="001311A2">
        <w:rPr>
          <w:rFonts w:ascii="Times New Roman" w:eastAsia="Times New Roman" w:hAnsi="Times New Roman" w:cs="Times New Roman"/>
          <w:kern w:val="0"/>
          <w14:ligatures w14:val="none"/>
        </w:rPr>
        <w:t xml:space="preserve"> as the PRD mandates — minimum latency to Nigerian users, NDPA data residency on the African continent. The Terraform I wrote provisions: a multi-AZ EKS cluster with a separate node group for AI workloads, two RDS PostgreSQL instances (one for general services, one isolated for the wallet — financial data separation), ElastiCache Redis, S3 with KMS encryption, and a CloudFront CDN. Disaster recovery is wired to eu-west-1 Ireland.</w:t>
      </w:r>
    </w:p>
    <w:p w14:paraId="7E74C6B2" w14:textId="77777777" w:rsidR="001311A2" w:rsidRPr="001311A2" w:rsidRDefault="001311A2" w:rsidP="00131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A2">
        <w:rPr>
          <w:rFonts w:ascii="Times New Roman" w:eastAsia="Times New Roman" w:hAnsi="Times New Roman" w:cs="Times New Roman"/>
          <w:b/>
          <w:bCs/>
          <w:kern w:val="0"/>
          <w:sz w:val="27"/>
          <w:szCs w:val="27"/>
          <w14:ligatures w14:val="none"/>
        </w:rPr>
        <w:t>The Microservices</w:t>
      </w:r>
    </w:p>
    <w:p w14:paraId="60F7A3C8"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Five services are scaffolded:</w:t>
      </w:r>
    </w:p>
    <w:p w14:paraId="175318EF"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API Gateway</w:t>
      </w:r>
      <w:r w:rsidRPr="001311A2">
        <w:rPr>
          <w:rFonts w:ascii="Times New Roman" w:eastAsia="Times New Roman" w:hAnsi="Times New Roman" w:cs="Times New Roman"/>
          <w:kern w:val="0"/>
          <w14:ligatures w14:val="none"/>
        </w:rPr>
        <w:t xml:space="preserve"> (port 8000) is the platform's front door. It has JWT verification with 2FA enforcement on financial and government routes, a Redis-backed sliding-window rate limiter with different limits per route class (auth gets 20/min, payments get 30/min, AI gets 10/min), circuit breakers, request ID injection, and Prometheus metrics.</w:t>
      </w:r>
    </w:p>
    <w:p w14:paraId="69F0442A"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Auth Service</w:t>
      </w:r>
      <w:r w:rsidRPr="001311A2">
        <w:rPr>
          <w:rFonts w:ascii="Times New Roman" w:eastAsia="Times New Roman" w:hAnsi="Times New Roman" w:cs="Times New Roman"/>
          <w:kern w:val="0"/>
          <w14:ligatures w14:val="none"/>
        </w:rPr>
        <w:t xml:space="preserve"> (port 8001) handles identity, KYC, and session management. It's where NIN and BVN verification flow through, where 2FA is enrolled, and where the ISEYAA Digital ID (format: </w:t>
      </w:r>
      <w:r w:rsidRPr="001311A2">
        <w:rPr>
          <w:rFonts w:ascii="Courier New" w:eastAsia="Times New Roman" w:hAnsi="Courier New" w:cs="Courier New"/>
          <w:kern w:val="0"/>
          <w:sz w:val="20"/>
          <w:szCs w:val="20"/>
          <w14:ligatures w14:val="none"/>
        </w:rPr>
        <w:t>ISEYAA-OG-XXXXXXXX</w:t>
      </w:r>
      <w:r w:rsidRPr="001311A2">
        <w:rPr>
          <w:rFonts w:ascii="Times New Roman" w:eastAsia="Times New Roman" w:hAnsi="Times New Roman" w:cs="Times New Roman"/>
          <w:kern w:val="0"/>
          <w14:ligatures w14:val="none"/>
        </w:rPr>
        <w:t>) is issued.</w:t>
      </w:r>
    </w:p>
    <w:p w14:paraId="4173FA11"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Wallet Service</w:t>
      </w:r>
      <w:r w:rsidRPr="001311A2">
        <w:rPr>
          <w:rFonts w:ascii="Times New Roman" w:eastAsia="Times New Roman" w:hAnsi="Times New Roman" w:cs="Times New Roman"/>
          <w:kern w:val="0"/>
          <w14:ligatures w14:val="none"/>
        </w:rPr>
        <w:t xml:space="preserve"> (port 8002) is the most sensitive service on the platform. It runs on its own isolated RDS instance. Every transaction is immutable with balance snapshots — a self-verifying audit trail. Paystack is the primary gateway (CBN-licensed, Nigerian-first), Flutterwave handles cross-border. The revenue split engine calculates IGR, platform fee, and seller payout at transaction creation time, then queues OGIRS remittance asynchronously.</w:t>
      </w:r>
    </w:p>
    <w:p w14:paraId="194D2CDA"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Events Service</w:t>
      </w:r>
      <w:r w:rsidRPr="001311A2">
        <w:rPr>
          <w:rFonts w:ascii="Times New Roman" w:eastAsia="Times New Roman" w:hAnsi="Times New Roman" w:cs="Times New Roman"/>
          <w:kern w:val="0"/>
          <w14:ligatures w14:val="none"/>
        </w:rPr>
        <w:t xml:space="preserve"> (port 8003) manages the full lifecycle from draft through government approval (a required compliance gate the PRD mandates) through published and live. Tickets carry unique QR codes for scanner-app entry. Vendor booths, sponsorships, and livestream integration are all modelled.</w:t>
      </w:r>
    </w:p>
    <w:p w14:paraId="40BE7665"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LGA Intelligence Service</w:t>
      </w:r>
      <w:r w:rsidRPr="001311A2">
        <w:rPr>
          <w:rFonts w:ascii="Times New Roman" w:eastAsia="Times New Roman" w:hAnsi="Times New Roman" w:cs="Times New Roman"/>
          <w:kern w:val="0"/>
          <w14:ligatures w14:val="none"/>
        </w:rPr>
        <w:t xml:space="preserve"> (port 8004) is the government dashboard backend. It's read-heavy, Redis-cached at 5-minute TTL, and requires </w:t>
      </w:r>
      <w:r w:rsidRPr="001311A2">
        <w:rPr>
          <w:rFonts w:ascii="Courier New" w:eastAsia="Times New Roman" w:hAnsi="Courier New" w:cs="Courier New"/>
          <w:kern w:val="0"/>
          <w:sz w:val="20"/>
          <w:szCs w:val="20"/>
          <w14:ligatures w14:val="none"/>
        </w:rPr>
        <w:t>government_officer</w:t>
      </w:r>
      <w:r w:rsidRPr="001311A2">
        <w:rPr>
          <w:rFonts w:ascii="Times New Roman" w:eastAsia="Times New Roman" w:hAnsi="Times New Roman" w:cs="Times New Roman"/>
          <w:kern w:val="0"/>
          <w14:ligatures w14:val="none"/>
        </w:rPr>
        <w:t xml:space="preserve"> role minimum at the API Gateway before a request even reaches it. It talks to ClickHouse for OLAP analytics queries across transaction history.</w:t>
      </w:r>
    </w:p>
    <w:p w14:paraId="65D0DA4E"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AI Layer</w:t>
      </w:r>
      <w:r w:rsidRPr="001311A2">
        <w:rPr>
          <w:rFonts w:ascii="Times New Roman" w:eastAsia="Times New Roman" w:hAnsi="Times New Roman" w:cs="Times New Roman"/>
          <w:kern w:val="0"/>
          <w14:ligatures w14:val="none"/>
        </w:rPr>
        <w:t xml:space="preserve"> (port 8010) is the distributed Multi-Agent System.</w:t>
      </w:r>
    </w:p>
    <w:p w14:paraId="1853C578" w14:textId="77777777" w:rsidR="001311A2" w:rsidRPr="001311A2" w:rsidRDefault="001311A2" w:rsidP="00131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A2">
        <w:rPr>
          <w:rFonts w:ascii="Times New Roman" w:eastAsia="Times New Roman" w:hAnsi="Times New Roman" w:cs="Times New Roman"/>
          <w:b/>
          <w:bCs/>
          <w:kern w:val="0"/>
          <w:sz w:val="27"/>
          <w:szCs w:val="27"/>
          <w14:ligatures w14:val="none"/>
        </w:rPr>
        <w:lastRenderedPageBreak/>
        <w:t>The AI Architecture</w:t>
      </w:r>
    </w:p>
    <w:p w14:paraId="60CB4BFB"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 xml:space="preserve">The MAS follows a clear hierarchy. The </w:t>
      </w:r>
      <w:r w:rsidRPr="001311A2">
        <w:rPr>
          <w:rFonts w:ascii="Times New Roman" w:eastAsia="Times New Roman" w:hAnsi="Times New Roman" w:cs="Times New Roman"/>
          <w:b/>
          <w:bCs/>
          <w:kern w:val="0"/>
          <w14:ligatures w14:val="none"/>
        </w:rPr>
        <w:t>OrchestratorAgent</w:t>
      </w:r>
      <w:r w:rsidRPr="001311A2">
        <w:rPr>
          <w:rFonts w:ascii="Times New Roman" w:eastAsia="Times New Roman" w:hAnsi="Times New Roman" w:cs="Times New Roman"/>
          <w:kern w:val="0"/>
          <w14:ligatures w14:val="none"/>
        </w:rPr>
        <w:t xml:space="preserve"> receives tasks, uses Claude Opus 4 to route them intelligently, delegates to specialist agents, and maintains a full audit trace on every decision. An </w:t>
      </w:r>
      <w:r w:rsidRPr="001311A2">
        <w:rPr>
          <w:rFonts w:ascii="Courier New" w:eastAsia="Times New Roman" w:hAnsi="Courier New" w:cs="Courier New"/>
          <w:kern w:val="0"/>
          <w:sz w:val="20"/>
          <w:szCs w:val="20"/>
          <w14:ligatures w14:val="none"/>
        </w:rPr>
        <w:t>asyncio.Semaphore</w:t>
      </w:r>
      <w:r w:rsidRPr="001311A2">
        <w:rPr>
          <w:rFonts w:ascii="Times New Roman" w:eastAsia="Times New Roman" w:hAnsi="Times New Roman" w:cs="Times New Roman"/>
          <w:kern w:val="0"/>
          <w14:ligatures w14:val="none"/>
        </w:rPr>
        <w:t xml:space="preserve"> caps concurrency at 5 simultaneous AI calls to control cost and latency.</w:t>
      </w:r>
    </w:p>
    <w:p w14:paraId="722ECFA5"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Specialist agents built so far:</w:t>
      </w:r>
    </w:p>
    <w:p w14:paraId="08E0E9A0" w14:textId="77777777" w:rsidR="001311A2" w:rsidRPr="001311A2" w:rsidRDefault="001311A2" w:rsidP="001311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LGAIntelligenceAgent</w:t>
      </w:r>
      <w:r w:rsidRPr="001311A2">
        <w:rPr>
          <w:rFonts w:ascii="Times New Roman" w:eastAsia="Times New Roman" w:hAnsi="Times New Roman" w:cs="Times New Roman"/>
          <w:kern w:val="0"/>
          <w14:ligatures w14:val="none"/>
        </w:rPr>
        <w:t xml:space="preserve"> — 8 action handlers: IGR reports, cross-LGA comparisons, ministry dashboards, sports analytics, health utilisation, tourism analytics, vendor compliance, predictive forecasting. Knows all 20 Ogun State LGAs and all 12 ministries by name.</w:t>
      </w:r>
    </w:p>
    <w:p w14:paraId="376F5C31" w14:textId="77777777" w:rsidR="001311A2" w:rsidRPr="001311A2" w:rsidRDefault="001311A2" w:rsidP="001311A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OrchestratorAgent</w:t>
      </w:r>
      <w:r w:rsidRPr="001311A2">
        <w:rPr>
          <w:rFonts w:ascii="Times New Roman" w:eastAsia="Times New Roman" w:hAnsi="Times New Roman" w:cs="Times New Roman"/>
          <w:kern w:val="0"/>
          <w14:ligatures w14:val="none"/>
        </w:rPr>
        <w:t xml:space="preserve"> — the brain. Streams responses for real-time chat interfaces and batch-executes multiple tasks concurrently.</w:t>
      </w:r>
    </w:p>
    <w:p w14:paraId="46309F10"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Agents documented but not yet implemented (Sprint 2+): FraudDetectionAgent, MediaIntelligenceAgent, ItineraryAgent, CitizenChatAgent.</w:t>
      </w:r>
    </w:p>
    <w:p w14:paraId="52530BCB" w14:textId="77777777" w:rsidR="001311A2" w:rsidRPr="001311A2" w:rsidRDefault="00C309B8" w:rsidP="001311A2">
      <w:pPr>
        <w:spacing w:after="0" w:line="240" w:lineRule="auto"/>
        <w:rPr>
          <w:rFonts w:ascii="Times New Roman" w:eastAsia="Times New Roman" w:hAnsi="Times New Roman" w:cs="Times New Roman"/>
          <w:kern w:val="0"/>
          <w14:ligatures w14:val="none"/>
        </w:rPr>
      </w:pPr>
      <w:r w:rsidRPr="00C309B8">
        <w:rPr>
          <w:rFonts w:ascii="Times New Roman" w:eastAsia="Times New Roman" w:hAnsi="Times New Roman" w:cs="Times New Roman"/>
          <w:noProof/>
          <w:kern w:val="0"/>
        </w:rPr>
        <w:pict w14:anchorId="3D97C12C">
          <v:rect id="_x0000_i1028" alt="" style="width:468pt;height:.05pt;mso-width-percent:0;mso-height-percent:0;mso-width-percent:0;mso-height-percent:0" o:hralign="center" o:hrstd="t" o:hr="t" fillcolor="#a0a0a0" stroked="f"/>
        </w:pict>
      </w:r>
    </w:p>
    <w:p w14:paraId="56F84290" w14:textId="77777777" w:rsidR="001311A2" w:rsidRPr="001311A2" w:rsidRDefault="001311A2" w:rsidP="00131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1A2">
        <w:rPr>
          <w:rFonts w:ascii="Times New Roman" w:eastAsia="Times New Roman" w:hAnsi="Times New Roman" w:cs="Times New Roman"/>
          <w:b/>
          <w:bCs/>
          <w:kern w:val="0"/>
          <w:sz w:val="36"/>
          <w:szCs w:val="36"/>
          <w14:ligatures w14:val="none"/>
        </w:rPr>
        <w:t>The Database Schema</w:t>
      </w:r>
    </w:p>
    <w:p w14:paraId="0D1E63A9" w14:textId="77777777" w:rsidR="001311A2" w:rsidRPr="001311A2" w:rsidRDefault="001311A2" w:rsidP="001311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11A2">
        <w:rPr>
          <w:rFonts w:ascii="Times New Roman" w:eastAsia="Times New Roman" w:hAnsi="Times New Roman" w:cs="Times New Roman"/>
          <w:b/>
          <w:bCs/>
          <w:kern w:val="0"/>
          <w:sz w:val="27"/>
          <w:szCs w:val="27"/>
          <w14:ligatures w14:val="none"/>
        </w:rPr>
        <w:t>Four PostgreSQL Schemas</w:t>
      </w:r>
    </w:p>
    <w:p w14:paraId="61E1F999"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Courier New" w:eastAsia="Times New Roman" w:hAnsi="Courier New" w:cs="Courier New"/>
          <w:b/>
          <w:bCs/>
          <w:kern w:val="0"/>
          <w:sz w:val="20"/>
          <w:szCs w:val="20"/>
          <w14:ligatures w14:val="none"/>
        </w:rPr>
        <w:t>lga</w:t>
      </w:r>
      <w:r w:rsidRPr="001311A2">
        <w:rPr>
          <w:rFonts w:ascii="Times New Roman" w:eastAsia="Times New Roman" w:hAnsi="Times New Roman" w:cs="Times New Roman"/>
          <w:kern w:val="0"/>
          <w14:ligatures w14:val="none"/>
        </w:rPr>
        <w:t xml:space="preserve"> — The digital profile of Ogun State itself. All 20 LGAs are seeded with real coordinates, populations, ethnic groups, ward counts, and economic sectors. Cultural assets cover monuments, festivals, artefacts, oral traditions. Tourism attractions are booking-engine ready. Economic activities provide sector-level GDP and IGR contribution data by year and quarter.</w:t>
      </w:r>
    </w:p>
    <w:p w14:paraId="35314D0E"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Courier New" w:eastAsia="Times New Roman" w:hAnsi="Courier New" w:cs="Courier New"/>
          <w:b/>
          <w:bCs/>
          <w:kern w:val="0"/>
          <w:sz w:val="20"/>
          <w:szCs w:val="20"/>
          <w14:ligatures w14:val="none"/>
        </w:rPr>
        <w:t>identity</w:t>
      </w:r>
      <w:r w:rsidRPr="001311A2">
        <w:rPr>
          <w:rFonts w:ascii="Times New Roman" w:eastAsia="Times New Roman" w:hAnsi="Times New Roman" w:cs="Times New Roman"/>
          <w:kern w:val="0"/>
          <w14:ligatures w14:val="none"/>
        </w:rPr>
        <w:t xml:space="preserve"> — The most architecturally careful schema. PII is never stored plaintext. Every sensitive field has an </w:t>
      </w:r>
      <w:r w:rsidRPr="001311A2">
        <w:rPr>
          <w:rFonts w:ascii="Courier New" w:eastAsia="Times New Roman" w:hAnsi="Courier New" w:cs="Courier New"/>
          <w:kern w:val="0"/>
          <w:sz w:val="20"/>
          <w:szCs w:val="20"/>
          <w14:ligatures w14:val="none"/>
        </w:rPr>
        <w:t>_enc</w:t>
      </w:r>
      <w:r w:rsidRPr="001311A2">
        <w:rPr>
          <w:rFonts w:ascii="Times New Roman" w:eastAsia="Times New Roman" w:hAnsi="Times New Roman" w:cs="Times New Roman"/>
          <w:kern w:val="0"/>
          <w14:ligatures w14:val="none"/>
        </w:rPr>
        <w:t xml:space="preserve"> version (AES-256-GCM ciphertext via AWS KMS) and a </w:t>
      </w:r>
      <w:r w:rsidRPr="001311A2">
        <w:rPr>
          <w:rFonts w:ascii="Courier New" w:eastAsia="Times New Roman" w:hAnsi="Courier New" w:cs="Courier New"/>
          <w:kern w:val="0"/>
          <w:sz w:val="20"/>
          <w:szCs w:val="20"/>
          <w14:ligatures w14:val="none"/>
        </w:rPr>
        <w:t>_hash</w:t>
      </w:r>
      <w:r w:rsidRPr="001311A2">
        <w:rPr>
          <w:rFonts w:ascii="Times New Roman" w:eastAsia="Times New Roman" w:hAnsi="Times New Roman" w:cs="Times New Roman"/>
          <w:kern w:val="0"/>
          <w14:ligatures w14:val="none"/>
        </w:rPr>
        <w:t xml:space="preserve"> version (SHA-256 for lookups). Biometrics use SHA-3-512 — mathematically irreversible. Raw face data and fingerprint data never leave the device. The KYC tier system (0 through 3) gates transaction limits in compliance with CBN consumer protection guidelines.</w:t>
      </w:r>
    </w:p>
    <w:p w14:paraId="3F65F032"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Courier New" w:eastAsia="Times New Roman" w:hAnsi="Courier New" w:cs="Courier New"/>
          <w:b/>
          <w:bCs/>
          <w:kern w:val="0"/>
          <w:sz w:val="20"/>
          <w:szCs w:val="20"/>
          <w14:ligatures w14:val="none"/>
        </w:rPr>
        <w:t>wallet</w:t>
      </w:r>
      <w:r w:rsidRPr="001311A2">
        <w:rPr>
          <w:rFonts w:ascii="Times New Roman" w:eastAsia="Times New Roman" w:hAnsi="Times New Roman" w:cs="Times New Roman"/>
          <w:kern w:val="0"/>
          <w14:ligatures w14:val="none"/>
        </w:rPr>
        <w:t xml:space="preserve"> — All monetary values are </w:t>
      </w:r>
      <w:r w:rsidRPr="001311A2">
        <w:rPr>
          <w:rFonts w:ascii="Courier New" w:eastAsia="Times New Roman" w:hAnsi="Courier New" w:cs="Courier New"/>
          <w:kern w:val="0"/>
          <w:sz w:val="20"/>
          <w:szCs w:val="20"/>
          <w14:ligatures w14:val="none"/>
        </w:rPr>
        <w:t>NUMERIC(15,2)</w:t>
      </w:r>
      <w:r w:rsidRPr="001311A2">
        <w:rPr>
          <w:rFonts w:ascii="Times New Roman" w:eastAsia="Times New Roman" w:hAnsi="Times New Roman" w:cs="Times New Roman"/>
          <w:kern w:val="0"/>
          <w14:ligatures w14:val="none"/>
        </w:rPr>
        <w:t xml:space="preserve"> — never </w:t>
      </w:r>
      <w:r w:rsidRPr="001311A2">
        <w:rPr>
          <w:rFonts w:ascii="Courier New" w:eastAsia="Times New Roman" w:hAnsi="Courier New" w:cs="Courier New"/>
          <w:kern w:val="0"/>
          <w:sz w:val="20"/>
          <w:szCs w:val="20"/>
          <w14:ligatures w14:val="none"/>
        </w:rPr>
        <w:t>FLOAT</w:t>
      </w:r>
      <w:r w:rsidRPr="001311A2">
        <w:rPr>
          <w:rFonts w:ascii="Times New Roman" w:eastAsia="Times New Roman" w:hAnsi="Times New Roman" w:cs="Times New Roman"/>
          <w:kern w:val="0"/>
          <w14:ligatures w14:val="none"/>
        </w:rPr>
        <w:t xml:space="preserve">. The </w:t>
      </w:r>
      <w:r w:rsidRPr="001311A2">
        <w:rPr>
          <w:rFonts w:ascii="Courier New" w:eastAsia="Times New Roman" w:hAnsi="Courier New" w:cs="Courier New"/>
          <w:kern w:val="0"/>
          <w:sz w:val="20"/>
          <w:szCs w:val="20"/>
          <w14:ligatures w14:val="none"/>
        </w:rPr>
        <w:t>version</w:t>
      </w:r>
      <w:r w:rsidRPr="001311A2">
        <w:rPr>
          <w:rFonts w:ascii="Times New Roman" w:eastAsia="Times New Roman" w:hAnsi="Times New Roman" w:cs="Times New Roman"/>
          <w:kern w:val="0"/>
          <w14:ligatures w14:val="none"/>
        </w:rPr>
        <w:t xml:space="preserve"> column on wallets enables optimistic locking to prevent race conditions on concurrent balance updates. The escrow state machine handles the full lifecycle: holding → delivery confirmed → released, with dispute adjudication and auto-release timer. The revenue split config table drives the IGR engine and is LGA-specific and module-specific.</w:t>
      </w:r>
    </w:p>
    <w:p w14:paraId="44BC8D66"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Courier New" w:eastAsia="Times New Roman" w:hAnsi="Courier New" w:cs="Courier New"/>
          <w:b/>
          <w:bCs/>
          <w:kern w:val="0"/>
          <w:sz w:val="20"/>
          <w:szCs w:val="20"/>
          <w14:ligatures w14:val="none"/>
        </w:rPr>
        <w:t>ai_audit</w:t>
      </w:r>
      <w:r w:rsidRPr="001311A2">
        <w:rPr>
          <w:rFonts w:ascii="Times New Roman" w:eastAsia="Times New Roman" w:hAnsi="Times New Roman" w:cs="Times New Roman"/>
          <w:kern w:val="0"/>
          <w14:ligatures w14:val="none"/>
        </w:rPr>
        <w:t xml:space="preserve"> — Every AI decision across every schema writes a full trace here, including tokens used, latency, confidence score, whether PII was accessed (NDPA </w:t>
      </w:r>
      <w:r w:rsidRPr="001311A2">
        <w:rPr>
          <w:rFonts w:ascii="Courier New" w:eastAsia="Times New Roman" w:hAnsi="Courier New" w:cs="Courier New"/>
          <w:kern w:val="0"/>
          <w:sz w:val="20"/>
          <w:szCs w:val="20"/>
          <w14:ligatures w14:val="none"/>
        </w:rPr>
        <w:t>legal_basis</w:t>
      </w:r>
      <w:r w:rsidRPr="001311A2">
        <w:rPr>
          <w:rFonts w:ascii="Times New Roman" w:eastAsia="Times New Roman" w:hAnsi="Times New Roman" w:cs="Times New Roman"/>
          <w:kern w:val="0"/>
          <w14:ligatures w14:val="none"/>
        </w:rPr>
        <w:t xml:space="preserve"> field), and a </w:t>
      </w:r>
      <w:r w:rsidRPr="001311A2">
        <w:rPr>
          <w:rFonts w:ascii="Courier New" w:eastAsia="Times New Roman" w:hAnsi="Courier New" w:cs="Courier New"/>
          <w:kern w:val="0"/>
          <w:sz w:val="20"/>
          <w:szCs w:val="20"/>
          <w14:ligatures w14:val="none"/>
        </w:rPr>
        <w:t>human_review_required</w:t>
      </w:r>
      <w:r w:rsidRPr="001311A2">
        <w:rPr>
          <w:rFonts w:ascii="Times New Roman" w:eastAsia="Times New Roman" w:hAnsi="Times New Roman" w:cs="Times New Roman"/>
          <w:kern w:val="0"/>
          <w14:ligatures w14:val="none"/>
        </w:rPr>
        <w:t xml:space="preserve"> flag for decisions that shouldn't be acted on automatically.</w:t>
      </w:r>
    </w:p>
    <w:p w14:paraId="108956BA"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 xml:space="preserve">Every single table — across all four schemas — carries an </w:t>
      </w:r>
      <w:r w:rsidRPr="001311A2">
        <w:rPr>
          <w:rFonts w:ascii="Courier New" w:eastAsia="Times New Roman" w:hAnsi="Courier New" w:cs="Courier New"/>
          <w:kern w:val="0"/>
          <w:sz w:val="20"/>
          <w:szCs w:val="20"/>
          <w14:ligatures w14:val="none"/>
        </w:rPr>
        <w:t>ai_agent_logs JSONB NOT NULL DEFAULT '[]'</w:t>
      </w:r>
      <w:r w:rsidRPr="001311A2">
        <w:rPr>
          <w:rFonts w:ascii="Times New Roman" w:eastAsia="Times New Roman" w:hAnsi="Times New Roman" w:cs="Times New Roman"/>
          <w:kern w:val="0"/>
          <w14:ligatures w14:val="none"/>
        </w:rPr>
        <w:t xml:space="preserve"> column. This is a deliberate architectural decision: every entity has a built-in audit trail of every AI interaction that touched it.</w:t>
      </w:r>
    </w:p>
    <w:p w14:paraId="7FD0DAC8" w14:textId="77777777" w:rsidR="001311A2" w:rsidRPr="001311A2" w:rsidRDefault="00C309B8" w:rsidP="001311A2">
      <w:pPr>
        <w:spacing w:after="0" w:line="240" w:lineRule="auto"/>
        <w:rPr>
          <w:rFonts w:ascii="Times New Roman" w:eastAsia="Times New Roman" w:hAnsi="Times New Roman" w:cs="Times New Roman"/>
          <w:kern w:val="0"/>
          <w14:ligatures w14:val="none"/>
        </w:rPr>
      </w:pPr>
      <w:r w:rsidRPr="00C309B8">
        <w:rPr>
          <w:rFonts w:ascii="Times New Roman" w:eastAsia="Times New Roman" w:hAnsi="Times New Roman" w:cs="Times New Roman"/>
          <w:noProof/>
          <w:kern w:val="0"/>
        </w:rPr>
        <w:pict w14:anchorId="17F0BE1E">
          <v:rect id="_x0000_i1027" alt="" style="width:468pt;height:.05pt;mso-width-percent:0;mso-height-percent:0;mso-width-percent:0;mso-height-percent:0" o:hralign="center" o:hrstd="t" o:hr="t" fillcolor="#a0a0a0" stroked="f"/>
        </w:pict>
      </w:r>
    </w:p>
    <w:p w14:paraId="0A663A39" w14:textId="77777777" w:rsidR="001311A2" w:rsidRPr="001311A2" w:rsidRDefault="001311A2" w:rsidP="00131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1A2">
        <w:rPr>
          <w:rFonts w:ascii="Times New Roman" w:eastAsia="Times New Roman" w:hAnsi="Times New Roman" w:cs="Times New Roman"/>
          <w:b/>
          <w:bCs/>
          <w:kern w:val="0"/>
          <w:sz w:val="36"/>
          <w:szCs w:val="36"/>
          <w14:ligatures w14:val="none"/>
        </w:rPr>
        <w:t>The Compliance Layer</w:t>
      </w:r>
    </w:p>
    <w:p w14:paraId="0ED45116"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lastRenderedPageBreak/>
        <w:t>NDPA</w:t>
      </w:r>
      <w:r w:rsidRPr="001311A2">
        <w:rPr>
          <w:rFonts w:ascii="Times New Roman" w:eastAsia="Times New Roman" w:hAnsi="Times New Roman" w:cs="Times New Roman"/>
          <w:kern w:val="0"/>
          <w14:ligatures w14:val="none"/>
        </w:rPr>
        <w:t xml:space="preserve"> (Nigeria Data Protection Act) is threaded through every data decision — encrypted PII, irreversible biometric hashes, consent enforcement at registration (rejected if </w:t>
      </w:r>
      <w:r w:rsidRPr="001311A2">
        <w:rPr>
          <w:rFonts w:ascii="Courier New" w:eastAsia="Times New Roman" w:hAnsi="Courier New" w:cs="Courier New"/>
          <w:kern w:val="0"/>
          <w:sz w:val="20"/>
          <w:szCs w:val="20"/>
          <w14:ligatures w14:val="none"/>
        </w:rPr>
        <w:t>data_processing_consent = false</w:t>
      </w:r>
      <w:r w:rsidRPr="001311A2">
        <w:rPr>
          <w:rFonts w:ascii="Times New Roman" w:eastAsia="Times New Roman" w:hAnsi="Times New Roman" w:cs="Times New Roman"/>
          <w:kern w:val="0"/>
          <w14:ligatures w14:val="none"/>
        </w:rPr>
        <w:t>), data retention end dates, and NDPA fields on every AI audit log.</w:t>
      </w:r>
    </w:p>
    <w:p w14:paraId="02376B33"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PCI-DSS</w:t>
      </w:r>
      <w:r w:rsidRPr="001311A2">
        <w:rPr>
          <w:rFonts w:ascii="Times New Roman" w:eastAsia="Times New Roman" w:hAnsi="Times New Roman" w:cs="Times New Roman"/>
          <w:kern w:val="0"/>
          <w14:ligatures w14:val="none"/>
        </w:rPr>
        <w:t xml:space="preserve"> — Card data never touches ISEYAA servers. Paystack Vault handles tokenisation. Only </w:t>
      </w:r>
      <w:r w:rsidRPr="001311A2">
        <w:rPr>
          <w:rFonts w:ascii="Courier New" w:eastAsia="Times New Roman" w:hAnsi="Courier New" w:cs="Courier New"/>
          <w:kern w:val="0"/>
          <w:sz w:val="20"/>
          <w:szCs w:val="20"/>
          <w14:ligatures w14:val="none"/>
        </w:rPr>
        <w:t>account_last4</w:t>
      </w:r>
      <w:r w:rsidRPr="001311A2">
        <w:rPr>
          <w:rFonts w:ascii="Times New Roman" w:eastAsia="Times New Roman" w:hAnsi="Times New Roman" w:cs="Times New Roman"/>
          <w:kern w:val="0"/>
          <w14:ligatures w14:val="none"/>
        </w:rPr>
        <w:t xml:space="preserve"> is stored in the wallet schema.</w:t>
      </w:r>
    </w:p>
    <w:p w14:paraId="23182B77"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CBN Guidelines</w:t>
      </w:r>
      <w:r w:rsidRPr="001311A2">
        <w:rPr>
          <w:rFonts w:ascii="Times New Roman" w:eastAsia="Times New Roman" w:hAnsi="Times New Roman" w:cs="Times New Roman"/>
          <w:kern w:val="0"/>
          <w14:ligatures w14:val="none"/>
        </w:rPr>
        <w:t xml:space="preserve"> — KYC tiers map directly to transaction limits. Tier 0 gets ₦10k/day. Tier 3 (BVN + biometric) gets ₦500k/day. Government wallets have custom limits.</w:t>
      </w:r>
    </w:p>
    <w:p w14:paraId="714846F3"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OGIRS Integration</w:t>
      </w:r>
      <w:r w:rsidRPr="001311A2">
        <w:rPr>
          <w:rFonts w:ascii="Times New Roman" w:eastAsia="Times New Roman" w:hAnsi="Times New Roman" w:cs="Times New Roman"/>
          <w:kern w:val="0"/>
          <w14:ligatures w14:val="none"/>
        </w:rPr>
        <w:t xml:space="preserve"> — Every transaction tags </w:t>
      </w:r>
      <w:r w:rsidRPr="001311A2">
        <w:rPr>
          <w:rFonts w:ascii="Courier New" w:eastAsia="Times New Roman" w:hAnsi="Courier New" w:cs="Courier New"/>
          <w:kern w:val="0"/>
          <w:sz w:val="20"/>
          <w:szCs w:val="20"/>
          <w14:ligatures w14:val="none"/>
        </w:rPr>
        <w:t>igr_amount</w:t>
      </w:r>
      <w:r w:rsidRPr="001311A2">
        <w:rPr>
          <w:rFonts w:ascii="Times New Roman" w:eastAsia="Times New Roman" w:hAnsi="Times New Roman" w:cs="Times New Roman"/>
          <w:kern w:val="0"/>
          <w14:ligatures w14:val="none"/>
        </w:rPr>
        <w:t xml:space="preserve">, </w:t>
      </w:r>
      <w:r w:rsidRPr="001311A2">
        <w:rPr>
          <w:rFonts w:ascii="Courier New" w:eastAsia="Times New Roman" w:hAnsi="Courier New" w:cs="Courier New"/>
          <w:kern w:val="0"/>
          <w:sz w:val="20"/>
          <w:szCs w:val="20"/>
          <w14:ligatures w14:val="none"/>
        </w:rPr>
        <w:t>igr_split_pct</w:t>
      </w:r>
      <w:r w:rsidRPr="001311A2">
        <w:rPr>
          <w:rFonts w:ascii="Times New Roman" w:eastAsia="Times New Roman" w:hAnsi="Times New Roman" w:cs="Times New Roman"/>
          <w:kern w:val="0"/>
          <w14:ligatures w14:val="none"/>
        </w:rPr>
        <w:t xml:space="preserve">, and </w:t>
      </w:r>
      <w:r w:rsidRPr="001311A2">
        <w:rPr>
          <w:rFonts w:ascii="Courier New" w:eastAsia="Times New Roman" w:hAnsi="Courier New" w:cs="Courier New"/>
          <w:kern w:val="0"/>
          <w:sz w:val="20"/>
          <w:szCs w:val="20"/>
          <w14:ligatures w14:val="none"/>
        </w:rPr>
        <w:t>ogirs_batch_id</w:t>
      </w:r>
      <w:r w:rsidRPr="001311A2">
        <w:rPr>
          <w:rFonts w:ascii="Times New Roman" w:eastAsia="Times New Roman" w:hAnsi="Times New Roman" w:cs="Times New Roman"/>
          <w:kern w:val="0"/>
          <w14:ligatures w14:val="none"/>
        </w:rPr>
        <w:t xml:space="preserve">. The </w:t>
      </w:r>
      <w:r w:rsidRPr="001311A2">
        <w:rPr>
          <w:rFonts w:ascii="Courier New" w:eastAsia="Times New Roman" w:hAnsi="Courier New" w:cs="Courier New"/>
          <w:kern w:val="0"/>
          <w:sz w:val="20"/>
          <w:szCs w:val="20"/>
          <w14:ligatures w14:val="none"/>
        </w:rPr>
        <w:t>igr_remittance_log</w:t>
      </w:r>
      <w:r w:rsidRPr="001311A2">
        <w:rPr>
          <w:rFonts w:ascii="Times New Roman" w:eastAsia="Times New Roman" w:hAnsi="Times New Roman" w:cs="Times New Roman"/>
          <w:kern w:val="0"/>
          <w14:ligatures w14:val="none"/>
        </w:rPr>
        <w:t xml:space="preserve"> table records every batch submission to the Ogun State Internal Revenue Service with acknowledgement tracking.</w:t>
      </w:r>
    </w:p>
    <w:p w14:paraId="7CD6DD7F" w14:textId="77777777" w:rsidR="001311A2" w:rsidRPr="001311A2" w:rsidRDefault="00C309B8" w:rsidP="001311A2">
      <w:pPr>
        <w:spacing w:after="0" w:line="240" w:lineRule="auto"/>
        <w:rPr>
          <w:rFonts w:ascii="Times New Roman" w:eastAsia="Times New Roman" w:hAnsi="Times New Roman" w:cs="Times New Roman"/>
          <w:kern w:val="0"/>
          <w14:ligatures w14:val="none"/>
        </w:rPr>
      </w:pPr>
      <w:r w:rsidRPr="00C309B8">
        <w:rPr>
          <w:rFonts w:ascii="Times New Roman" w:eastAsia="Times New Roman" w:hAnsi="Times New Roman" w:cs="Times New Roman"/>
          <w:noProof/>
          <w:kern w:val="0"/>
        </w:rPr>
        <w:pict w14:anchorId="50EDFECD">
          <v:rect id="_x0000_i1026" alt="" style="width:468pt;height:.05pt;mso-width-percent:0;mso-height-percent:0;mso-width-percent:0;mso-height-percent:0" o:hralign="center" o:hrstd="t" o:hr="t" fillcolor="#a0a0a0" stroked="f"/>
        </w:pict>
      </w:r>
    </w:p>
    <w:p w14:paraId="59FC4FB0" w14:textId="77777777" w:rsidR="001311A2" w:rsidRPr="001311A2" w:rsidRDefault="001311A2" w:rsidP="00131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1A2">
        <w:rPr>
          <w:rFonts w:ascii="Times New Roman" w:eastAsia="Times New Roman" w:hAnsi="Times New Roman" w:cs="Times New Roman"/>
          <w:b/>
          <w:bCs/>
          <w:kern w:val="0"/>
          <w:sz w:val="36"/>
          <w:szCs w:val="36"/>
          <w14:ligatures w14:val="none"/>
        </w:rPr>
        <w:t>What I Understand About the Broader Ambition</w:t>
      </w:r>
    </w:p>
    <w:p w14:paraId="3F8A0B33"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Reading between the lines of the PRD and the sprint instructions, ISEYAA is trying to solve three deeply Nigerian infrastructure problems simultaneously:</w:t>
      </w:r>
    </w:p>
    <w:p w14:paraId="2DDC6B76"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The trust problem</w:t>
      </w:r>
      <w:r w:rsidRPr="001311A2">
        <w:rPr>
          <w:rFonts w:ascii="Times New Roman" w:eastAsia="Times New Roman" w:hAnsi="Times New Roman" w:cs="Times New Roman"/>
          <w:kern w:val="0"/>
          <w14:ligatures w14:val="none"/>
        </w:rPr>
        <w:t xml:space="preserve"> — Citizens don't trust government digital services because they've been burned before. ISEYAA's answer is transparency: real-time IGR tracking means citizens can see where their transaction fees go. The government intelligence dashboard means officials are accountable to data, not assertions.</w:t>
      </w:r>
    </w:p>
    <w:p w14:paraId="7C134FBA"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The connectivity problem</w:t>
      </w:r>
      <w:r w:rsidRPr="001311A2">
        <w:rPr>
          <w:rFonts w:ascii="Times New Roman" w:eastAsia="Times New Roman" w:hAnsi="Times New Roman" w:cs="Times New Roman"/>
          <w:kern w:val="0"/>
          <w14:ligatures w14:val="none"/>
        </w:rPr>
        <w:t xml:space="preserve"> — With over 75% mobile traffic assumed and significant 2G/3G coverage across rural LGAs, offline capability isn't a nice-to-have. The Flutter mobile app (Sprint 2) uses Hive for offline storage of tickets, HMO cards, and ride history. The PWA approach on Next.js handles degraded connectivity gracefully.</w:t>
      </w:r>
    </w:p>
    <w:p w14:paraId="0BE685D0"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b/>
          <w:bCs/>
          <w:kern w:val="0"/>
          <w14:ligatures w14:val="none"/>
        </w:rPr>
        <w:t>The fragmentation problem</w:t>
      </w:r>
      <w:r w:rsidRPr="001311A2">
        <w:rPr>
          <w:rFonts w:ascii="Times New Roman" w:eastAsia="Times New Roman" w:hAnsi="Times New Roman" w:cs="Times New Roman"/>
          <w:kern w:val="0"/>
          <w14:ligatures w14:val="none"/>
        </w:rPr>
        <w:t xml:space="preserve"> — Right now, a citizen in Sagamu might pay electricity through one app, buy an event ticket through another, register a business through a third, and check their HMO through a fourth — assuming digital versions exist at all. ISEYAA collapses this into one verified identity, one wallet, one platform.</w:t>
      </w:r>
    </w:p>
    <w:p w14:paraId="25A83DFA"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The 20 LGA digital profiles aren't just data storage. They're the foundation for the AI itinerary planner, the sports talent pipeline, the tourism analytics, the ministry dashboards — every intelligent service on the platform needs to understand where in Ogun State something is happening and what the economic and cultural context of that place is.</w:t>
      </w:r>
    </w:p>
    <w:p w14:paraId="425E6940" w14:textId="77777777" w:rsidR="001311A2" w:rsidRPr="001311A2" w:rsidRDefault="00C309B8" w:rsidP="001311A2">
      <w:pPr>
        <w:spacing w:after="0" w:line="240" w:lineRule="auto"/>
        <w:rPr>
          <w:rFonts w:ascii="Times New Roman" w:eastAsia="Times New Roman" w:hAnsi="Times New Roman" w:cs="Times New Roman"/>
          <w:kern w:val="0"/>
          <w14:ligatures w14:val="none"/>
        </w:rPr>
      </w:pPr>
      <w:r w:rsidRPr="00C309B8">
        <w:rPr>
          <w:rFonts w:ascii="Times New Roman" w:eastAsia="Times New Roman" w:hAnsi="Times New Roman" w:cs="Times New Roman"/>
          <w:noProof/>
          <w:kern w:val="0"/>
        </w:rPr>
        <w:pict w14:anchorId="09BA79AA">
          <v:rect id="_x0000_i1025" alt="" style="width:468pt;height:.05pt;mso-width-percent:0;mso-height-percent:0;mso-width-percent:0;mso-height-percent:0" o:hralign="center" o:hrstd="t" o:hr="t" fillcolor="#a0a0a0" stroked="f"/>
        </w:pict>
      </w:r>
    </w:p>
    <w:p w14:paraId="3AF89664" w14:textId="77777777" w:rsidR="001311A2" w:rsidRPr="001311A2" w:rsidRDefault="001311A2" w:rsidP="001311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11A2">
        <w:rPr>
          <w:rFonts w:ascii="Times New Roman" w:eastAsia="Times New Roman" w:hAnsi="Times New Roman" w:cs="Times New Roman"/>
          <w:b/>
          <w:bCs/>
          <w:kern w:val="0"/>
          <w:sz w:val="36"/>
          <w:szCs w:val="36"/>
          <w14:ligatures w14:val="none"/>
        </w:rPr>
        <w:t>Where We Are in the Build</w:t>
      </w:r>
    </w:p>
    <w:p w14:paraId="6DAE4182"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Sprint 1 (3 weeks) is scaffolded: infrastructure, API Gateway, Auth, Wallet, Events, LGA Intelligence, the AI MAS framework, the complete LGA Digital Profile schema, and the CI/CD pipeline.</w:t>
      </w:r>
    </w:p>
    <w:p w14:paraId="5114077F"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Sprint 2 will add transport (ride-hailing with Ably real-time tracking), sports management, HMO integration, utility payments, the Claude-powered citizen chatbot in Yoruba/Hausa/English, and the fraud detection rule engine.</w:t>
      </w:r>
    </w:p>
    <w:p w14:paraId="087062F0"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lastRenderedPageBreak/>
        <w:t>Sprint 3 is the AI-heavy phase: the MediaIntelligenceAgent for news aggregation and auto-publishing, the ItineraryAgent for personalised tourism planning, AWS SageMaker fraud model going live, and the AR/VR virtual tours of Olumo Rock and Ogun State heritage sites.</w:t>
      </w:r>
    </w:p>
    <w:p w14:paraId="5A9055D2" w14:textId="77777777" w:rsidR="001311A2" w:rsidRPr="001311A2" w:rsidRDefault="001311A2" w:rsidP="001311A2">
      <w:pPr>
        <w:spacing w:before="100" w:beforeAutospacing="1" w:after="100" w:afterAutospacing="1" w:line="240" w:lineRule="auto"/>
        <w:rPr>
          <w:rFonts w:ascii="Times New Roman" w:eastAsia="Times New Roman" w:hAnsi="Times New Roman" w:cs="Times New Roman"/>
          <w:kern w:val="0"/>
          <w14:ligatures w14:val="none"/>
        </w:rPr>
      </w:pPr>
      <w:r w:rsidRPr="001311A2">
        <w:rPr>
          <w:rFonts w:ascii="Times New Roman" w:eastAsia="Times New Roman" w:hAnsi="Times New Roman" w:cs="Times New Roman"/>
          <w:kern w:val="0"/>
          <w14:ligatures w14:val="none"/>
        </w:rPr>
        <w:t>The KPIs in the PRD are ambitious but not unreasonable: 50,000 MAU by Month 4, ₦2 billion/month transaction volume by end of Phase 3. Getting there depends almost entirely on citizen trust and government endorsement — the technology is the easier problem.</w:t>
      </w:r>
    </w:p>
    <w:p w14:paraId="03BB0276" w14:textId="77777777" w:rsidR="00D77E35" w:rsidRDefault="00D77E35"/>
    <w:sectPr w:rsidR="00D77E35" w:rsidSect="001311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71F2C"/>
    <w:multiLevelType w:val="multilevel"/>
    <w:tmpl w:val="4B6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5664B"/>
    <w:multiLevelType w:val="multilevel"/>
    <w:tmpl w:val="ABE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174931">
    <w:abstractNumId w:val="1"/>
  </w:num>
  <w:num w:numId="2" w16cid:durableId="84385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A2"/>
    <w:rsid w:val="00026077"/>
    <w:rsid w:val="001311A2"/>
    <w:rsid w:val="00135EA5"/>
    <w:rsid w:val="00140138"/>
    <w:rsid w:val="00B201AB"/>
    <w:rsid w:val="00C309B8"/>
    <w:rsid w:val="00D77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1CD3"/>
  <w15:chartTrackingRefBased/>
  <w15:docId w15:val="{F01C318E-1A4A-294B-BA13-07F737C0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1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1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1A2"/>
    <w:rPr>
      <w:rFonts w:eastAsiaTheme="majorEastAsia" w:cstheme="majorBidi"/>
      <w:color w:val="272727" w:themeColor="text1" w:themeTint="D8"/>
    </w:rPr>
  </w:style>
  <w:style w:type="paragraph" w:styleId="Title">
    <w:name w:val="Title"/>
    <w:basedOn w:val="Normal"/>
    <w:next w:val="Normal"/>
    <w:link w:val="TitleChar"/>
    <w:uiPriority w:val="10"/>
    <w:qFormat/>
    <w:rsid w:val="00131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1A2"/>
    <w:pPr>
      <w:spacing w:before="160"/>
      <w:jc w:val="center"/>
    </w:pPr>
    <w:rPr>
      <w:i/>
      <w:iCs/>
      <w:color w:val="404040" w:themeColor="text1" w:themeTint="BF"/>
    </w:rPr>
  </w:style>
  <w:style w:type="character" w:customStyle="1" w:styleId="QuoteChar">
    <w:name w:val="Quote Char"/>
    <w:basedOn w:val="DefaultParagraphFont"/>
    <w:link w:val="Quote"/>
    <w:uiPriority w:val="29"/>
    <w:rsid w:val="001311A2"/>
    <w:rPr>
      <w:i/>
      <w:iCs/>
      <w:color w:val="404040" w:themeColor="text1" w:themeTint="BF"/>
    </w:rPr>
  </w:style>
  <w:style w:type="paragraph" w:styleId="ListParagraph">
    <w:name w:val="List Paragraph"/>
    <w:basedOn w:val="Normal"/>
    <w:uiPriority w:val="34"/>
    <w:qFormat/>
    <w:rsid w:val="001311A2"/>
    <w:pPr>
      <w:ind w:left="720"/>
      <w:contextualSpacing/>
    </w:pPr>
  </w:style>
  <w:style w:type="character" w:styleId="IntenseEmphasis">
    <w:name w:val="Intense Emphasis"/>
    <w:basedOn w:val="DefaultParagraphFont"/>
    <w:uiPriority w:val="21"/>
    <w:qFormat/>
    <w:rsid w:val="001311A2"/>
    <w:rPr>
      <w:i/>
      <w:iCs/>
      <w:color w:val="0F4761" w:themeColor="accent1" w:themeShade="BF"/>
    </w:rPr>
  </w:style>
  <w:style w:type="paragraph" w:styleId="IntenseQuote">
    <w:name w:val="Intense Quote"/>
    <w:basedOn w:val="Normal"/>
    <w:next w:val="Normal"/>
    <w:link w:val="IntenseQuoteChar"/>
    <w:uiPriority w:val="30"/>
    <w:qFormat/>
    <w:rsid w:val="00131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1A2"/>
    <w:rPr>
      <w:i/>
      <w:iCs/>
      <w:color w:val="0F4761" w:themeColor="accent1" w:themeShade="BF"/>
    </w:rPr>
  </w:style>
  <w:style w:type="character" w:styleId="IntenseReference">
    <w:name w:val="Intense Reference"/>
    <w:basedOn w:val="DefaultParagraphFont"/>
    <w:uiPriority w:val="32"/>
    <w:qFormat/>
    <w:rsid w:val="001311A2"/>
    <w:rPr>
      <w:b/>
      <w:bCs/>
      <w:smallCaps/>
      <w:color w:val="0F4761" w:themeColor="accent1" w:themeShade="BF"/>
      <w:spacing w:val="5"/>
    </w:rPr>
  </w:style>
  <w:style w:type="paragraph" w:styleId="NormalWeb">
    <w:name w:val="Normal (Web)"/>
    <w:basedOn w:val="Normal"/>
    <w:uiPriority w:val="99"/>
    <w:semiHidden/>
    <w:unhideWhenUsed/>
    <w:rsid w:val="001311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11A2"/>
    <w:rPr>
      <w:b/>
      <w:bCs/>
    </w:rPr>
  </w:style>
  <w:style w:type="character" w:styleId="Emphasis">
    <w:name w:val="Emphasis"/>
    <w:basedOn w:val="DefaultParagraphFont"/>
    <w:uiPriority w:val="20"/>
    <w:qFormat/>
    <w:rsid w:val="001311A2"/>
    <w:rPr>
      <w:i/>
      <w:iCs/>
    </w:rPr>
  </w:style>
  <w:style w:type="character" w:styleId="HTMLCode">
    <w:name w:val="HTML Code"/>
    <w:basedOn w:val="DefaultParagraphFont"/>
    <w:uiPriority w:val="99"/>
    <w:semiHidden/>
    <w:unhideWhenUsed/>
    <w:rsid w:val="001311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1302</Words>
  <Characters>7426</Characters>
  <Application>Microsoft Office Word</Application>
  <DocSecurity>0</DocSecurity>
  <Lines>61</Lines>
  <Paragraphs>17</Paragraphs>
  <ScaleCrop>false</ScaleCrop>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Philip Fajorin [Student-PECS]</dc:creator>
  <cp:keywords/>
  <dc:description/>
  <cp:lastModifiedBy>Damilola Philip Fajorin [Student-PECS]</cp:lastModifiedBy>
  <cp:revision>1</cp:revision>
  <dcterms:created xsi:type="dcterms:W3CDTF">2026-04-25T09:41:00Z</dcterms:created>
  <dcterms:modified xsi:type="dcterms:W3CDTF">2026-04-25T09:42:00Z</dcterms:modified>
</cp:coreProperties>
</file>