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Sales &amp; Business Analytics Project Report</w:t>
      </w:r>
    </w:p>
    <w:p>
      <w:pPr/>
      <w:r>
        <w:t xml:space="preserve">Python · PostgreSQL · Power BI | Orders 2015–2018 | Prepared 19 October 2026</w:t>
      </w:r>
    </w:p>
    <w:p>
      <w:pPr>
        <w:pStyle w:val="Heading2"/>
      </w:pPr>
      <w:r>
        <w:t xml:space="preserve">1. Executive Summary</w:t>
      </w:r>
    </w:p>
    <w:p>
      <w:pPr/>
      <w:r>
        <w:t xml:space="preserve">This report consolidates the full Sales &amp; Business Analytics project: data cleaning and feature engineering in Python, business and advanced queries in SQL (PostgreSQL), time-series work in notebooks, and a three-page Power BI dashboard. All figures below were recomputed directly from </w:t>
      </w:r>
      <w:r>
        <w:rPr>
          <w:rStyle w:val="CodeChar"/>
        </w:rPr>
        <w:t xml:space="preserve">Sales_data.csv</w:t>
      </w:r>
      <w:r>
        <w:t xml:space="preserve"> (9,800 order lines), so they are independent of the notebooks' unsaved outputs.</w:t>
      </w:r>
    </w:p>
    <w:p>
      <w:pPr/>
      <w:r>
        <w:rPr>
          <w:b/>
        </w:rPr>
        <w:t xml:space="preserve">Headline results</w:t>
      </w:r>
    </w:p>
    <w:p>
      <w:pPr>
        <w:pStyle w:val="ListParagraph"/>
        <w:numPr>
          <w:ilvl w:val="0"/>
          <w:numId w:val="2"/>
        </w:numPr>
      </w:pPr>
      <w:r>
        <w:rPr>
          <w:b/>
        </w:rPr>
        <w:t xml:space="preserve">Total sales of $2.26M</w:t>
      </w:r>
      <w:r>
        <w:t xml:space="preserve"> across 4,922 orders, 793 customers and 1,861 products. Average order value is $459 and average sales per customer is $2,852.</w:t>
      </w:r>
    </w:p>
    <w:p>
      <w:pPr>
        <w:pStyle w:val="ListParagraph"/>
        <w:numPr>
          <w:ilvl w:val="0"/>
          <w:numId w:val="2"/>
        </w:numPr>
      </w:pPr>
      <w:r>
        <w:rPr>
          <w:b/>
        </w:rPr>
        <w:t xml:space="preserve">Growth is strong but not smooth.</w:t>
      </w:r>
      <w:r>
        <w:t xml:space="preserve"> Sales fell 4.3% in 2016, then rose 30.6% in 2017 and 20.3% in 2018 to $722K. The 2015–2018 compound annual growth rate is 14.6%.</w:t>
      </w:r>
    </w:p>
    <w:p>
      <w:pPr>
        <w:pStyle w:val="ListParagraph"/>
        <w:numPr>
          <w:ilvl w:val="0"/>
          <w:numId w:val="2"/>
        </w:numPr>
      </w:pPr>
      <w:r>
        <w:rPr>
          <w:b/>
        </w:rPr>
        <w:t xml:space="preserve">Growth is volume-driven, not value-driven.</w:t>
      </w:r>
      <w:r>
        <w:t xml:space="preserve"> Orders grew 75% (947 to 1,661) while average order value fell 14% ($507 to $435).</w:t>
      </w:r>
    </w:p>
    <w:p>
      <w:pPr>
        <w:pStyle w:val="ListParagraph"/>
        <w:numPr>
          <w:ilvl w:val="0"/>
          <w:numId w:val="2"/>
        </w:numPr>
      </w:pPr>
      <w:r>
        <w:rPr>
          <w:b/>
        </w:rPr>
        <w:t xml:space="preserve">The business is geographically concentrated.</w:t>
      </w:r>
      <w:r>
        <w:t xml:space="preserve"> California and New York produce 33% of sales, and the top five states produce 52%. West and East together produce 61%.</w:t>
      </w:r>
    </w:p>
    <w:p>
      <w:pPr>
        <w:pStyle w:val="ListParagraph"/>
        <w:numPr>
          <w:ilvl w:val="0"/>
          <w:numId w:val="2"/>
        </w:numPr>
      </w:pPr>
      <w:r>
        <w:rPr>
          <w:b/>
        </w:rPr>
        <w:t xml:space="preserve">Revenue is heavily seasonal.</w:t>
      </w:r>
      <w:r>
        <w:t xml:space="preserve"> Q4 delivers 38.5% of annual sales; September, November and December alone deliver 43%.</w:t>
      </w:r>
    </w:p>
    <w:p>
      <w:pPr>
        <w:pStyle w:val="ListParagraph"/>
        <w:numPr>
          <w:ilvl w:val="0"/>
          <w:numId w:val="2"/>
        </w:numPr>
      </w:pPr>
      <w:r>
        <w:rPr>
          <w:b/>
        </w:rPr>
        <w:t xml:space="preserve">The category mix is balanced</w:t>
      </w:r>
      <w:r>
        <w:t xml:space="preserve"> (Technology 36.6%, Furniture 32.2%, Office Supplies 31.2%), but Phones and Chairs are the two biggest sub-categories at about 14% each.</w:t>
      </w:r>
    </w:p>
    <w:p>
      <w:pPr>
        <w:pStyle w:val="ListParagraph"/>
        <w:numPr>
          <w:ilvl w:val="0"/>
          <w:numId w:val="2"/>
        </w:numPr>
      </w:pPr>
      <w:r>
        <w:rPr>
          <w:b/>
        </w:rPr>
        <w:t xml:space="preserve">Customers are loyal.</w:t>
      </w:r>
      <w:r>
        <w:t xml:space="preserve"> 98.4% of customers ordered more than once, averaging 6.2 orders each. The top 20% of customers generate 48% of sales.</w:t>
      </w:r>
    </w:p>
    <w:p>
      <w:pPr/>
      <w:r>
        <w:rPr>
          <w:b/>
        </w:rPr>
        <w:t xml:space="preserve">Important limitation:</w:t>
      </w:r>
      <w:r>
        <w:t xml:space="preserve"> the dataset contains sales only. It has no Profit, Quantity or Discount fields, so profitability, margin and discount conclusions cannot be drawn from this data (see Section 9).</w:t>
      </w:r>
    </w:p>
    <w:p>
      <w:pPr>
        <w:pStyle w:val="Heading2"/>
      </w:pPr>
      <w:r>
        <w:t xml:space="preserve">2. Project Scope and Deliverables</w:t>
      </w:r>
    </w:p>
    <w:p>
      <w:pPr/>
      <w:r>
        <w:rPr>
          <w:b/>
        </w:rPr>
        <w:t xml:space="preserve">Objective:</w:t>
      </w:r>
      <w:r>
        <w:t xml:space="preserve"> turn raw order data into decisions about where sales come from, how they change over time, who the valuable customers are, and how well orders are fulfilled.</w:t>
      </w:r>
    </w:p>
    <w:tbl>
      <w:tblPr>
        <w:tblStyle w:val="TableGrid"/>
        <w:tblW w:w="0" w:type="auto"/>
        <w:tblLayout w:type="fixed"/>
        <w:tblLook w:val="04A0" w:firstRow="1" w:lastRow="0" w:firstColumn="0" w:lastColumn="0" w:noHBand="0" w:noVBand="1"/>
      </w:tblPr>
      <w:tblGrid>
        <w:gridCol w:w="3120"/>
        <w:gridCol w:w="4598"/>
        <w:gridCol w:w="1642"/>
      </w:tblGrid>
      <w:tr>
        <w:trPr>
          <w:tblHeader/>
        </w:trPr>
        <w:tc>
          <w:tcPr>
            <w:tcW w:w="3120" w:type="dxa"/>
            <w:shd w:val="clear" w:color="auto" w:fill="F2F2F2"/>
          </w:tcPr>
          <w:p>
            <w:pPr/>
            <w:r>
              <w:t xml:space="preserve">Component</w:t>
            </w:r>
          </w:p>
        </w:tc>
        <w:tc>
          <w:tcPr>
            <w:tcW w:w="4598" w:type="dxa"/>
            <w:shd w:val="clear" w:color="auto" w:fill="F2F2F2"/>
          </w:tcPr>
          <w:p>
            <w:pPr/>
            <w:r>
              <w:t xml:space="preserve">Contents</w:t>
            </w:r>
          </w:p>
        </w:tc>
        <w:tc>
          <w:tcPr>
            <w:tcW w:w="1642" w:type="dxa"/>
            <w:shd w:val="clear" w:color="auto" w:fill="F2F2F2"/>
          </w:tcPr>
          <w:p>
            <w:pPr/>
            <w:r>
              <w:t xml:space="preserve">Status</w:t>
            </w:r>
          </w:p>
        </w:tc>
      </w:tr>
      <w:tr>
        <w:tc>
          <w:tcPr>
            <w:tcW w:w="3120" w:type="dxa"/>
          </w:tcPr>
          <w:p>
            <w:pPr/>
            <w:r>
              <w:t xml:space="preserve">Data</w:t>
            </w:r>
          </w:p>
        </w:tc>
        <w:tc>
          <w:tcPr>
            <w:tcW w:w="4598" w:type="dxa"/>
          </w:tcPr>
          <w:p>
            <w:pPr/>
            <w:r>
              <w:rPr>
                <w:rStyle w:val="CodeChar"/>
              </w:rPr>
              <w:t xml:space="preserve">Sales_data.csv</w:t>
            </w:r>
            <w:r>
              <w:t xml:space="preserve"> and </w:t>
            </w:r>
            <w:r>
              <w:rPr>
                <w:rStyle w:val="CodeChar"/>
              </w:rPr>
              <w:t xml:space="preserve">train.csv</w:t>
            </w:r>
            <w:r>
              <w:t xml:space="preserve"> (byte-identical, 9,800 rows, 24 columns)</w:t>
            </w:r>
          </w:p>
        </w:tc>
        <w:tc>
          <w:tcPr>
            <w:tcW w:w="1642" w:type="dxa"/>
          </w:tcPr>
          <w:p>
            <w:pPr/>
            <w:r>
              <w:t xml:space="preserve">Complete</w:t>
            </w:r>
          </w:p>
        </w:tc>
      </w:tr>
      <w:tr>
        <w:tc>
          <w:tcPr>
            <w:tcW w:w="3120" w:type="dxa"/>
          </w:tcPr>
          <w:p>
            <w:pPr/>
            <w:r>
              <w:t xml:space="preserve">Notebook 1: Data_Cleaning</w:t>
            </w:r>
          </w:p>
        </w:tc>
        <w:tc>
          <w:tcPr>
            <w:tcW w:w="4598" w:type="dxa"/>
          </w:tcPr>
          <w:p>
            <w:pPr/>
            <w:r>
              <w:t xml:space="preserve">Quality checks, date conversion, feature engineering</w:t>
            </w:r>
          </w:p>
        </w:tc>
        <w:tc>
          <w:tcPr>
            <w:tcW w:w="1642" w:type="dxa"/>
          </w:tcPr>
          <w:p>
            <w:pPr/>
            <w:r>
              <w:t xml:space="preserve">Complete</w:t>
            </w:r>
          </w:p>
        </w:tc>
      </w:tr>
      <w:tr>
        <w:tc>
          <w:tcPr>
            <w:tcW w:w="3120" w:type="dxa"/>
          </w:tcPr>
          <w:p>
            <w:pPr/>
            <w:r>
              <w:t xml:space="preserve">Notebook 2: Sales_Analysis</w:t>
            </w:r>
          </w:p>
        </w:tc>
        <w:tc>
          <w:tcPr>
            <w:tcW w:w="4598" w:type="dxa"/>
          </w:tcPr>
          <w:p>
            <w:pPr/>
            <w:r>
              <w:t xml:space="preserve">KPIs, category, region, segment, state, yearly and monthly trends</w:t>
            </w:r>
          </w:p>
        </w:tc>
        <w:tc>
          <w:tcPr>
            <w:tcW w:w="1642" w:type="dxa"/>
          </w:tcPr>
          <w:p>
            <w:pPr/>
            <w:r>
              <w:t xml:space="preserve">Complete</w:t>
            </w:r>
          </w:p>
        </w:tc>
      </w:tr>
      <w:tr>
        <w:tc>
          <w:tcPr>
            <w:tcW w:w="3120" w:type="dxa"/>
          </w:tcPr>
          <w:p>
            <w:pPr/>
            <w:r>
              <w:t xml:space="preserve">Notebook 3: Product_Customer_Analysis</w:t>
            </w:r>
          </w:p>
        </w:tc>
        <w:tc>
          <w:tcPr>
            <w:tcW w:w="4598" w:type="dxa"/>
          </w:tcPr>
          <w:p>
            <w:pPr/>
            <w:r>
              <w:t xml:space="preserve">Top products, top customers, value tiers</w:t>
            </w:r>
          </w:p>
        </w:tc>
        <w:tc>
          <w:tcPr>
            <w:tcW w:w="1642" w:type="dxa"/>
          </w:tcPr>
          <w:p>
            <w:pPr/>
            <w:r>
              <w:t xml:space="preserve">Mostly complete (one broken cell)</w:t>
            </w:r>
          </w:p>
        </w:tc>
      </w:tr>
      <w:tr>
        <w:tc>
          <w:tcPr>
            <w:tcW w:w="3120" w:type="dxa"/>
          </w:tcPr>
          <w:p>
            <w:pPr/>
            <w:r>
              <w:t xml:space="preserve">Notebook 4: Time_Series_Analysis</w:t>
            </w:r>
          </w:p>
        </w:tc>
        <w:tc>
          <w:tcPr>
            <w:tcW w:w="4598" w:type="dxa"/>
          </w:tcPr>
          <w:p>
            <w:pPr/>
            <w:r>
              <w:t xml:space="preserve">Growth, rolling average, seasonality, shipping</w:t>
            </w:r>
          </w:p>
        </w:tc>
        <w:tc>
          <w:tcPr>
            <w:tcW w:w="1642" w:type="dxa"/>
          </w:tcPr>
          <w:p>
            <w:pPr/>
            <w:r>
              <w:t xml:space="preserve">Complete (one copy-paste error)</w:t>
            </w:r>
          </w:p>
        </w:tc>
      </w:tr>
      <w:tr>
        <w:tc>
          <w:tcPr>
            <w:tcW w:w="3120" w:type="dxa"/>
          </w:tcPr>
          <w:p>
            <w:pPr/>
            <w:r>
              <w:t xml:space="preserve">Notebook 5: Business_Insights</w:t>
            </w:r>
          </w:p>
        </w:tc>
        <w:tc>
          <w:tcPr>
            <w:tcW w:w="4598" w:type="dxa"/>
          </w:tcPr>
          <w:p>
            <w:pPr/>
            <w:r>
              <w:t xml:space="preserve">Intended synthesis notebook</w:t>
            </w:r>
          </w:p>
        </w:tc>
        <w:tc>
          <w:tcPr>
            <w:tcW w:w="1642" w:type="dxa"/>
          </w:tcPr>
          <w:p>
            <w:pPr/>
            <w:r>
              <w:t xml:space="preserve">Empty</w:t>
            </w:r>
          </w:p>
        </w:tc>
      </w:tr>
      <w:tr>
        <w:tc>
          <w:tcPr>
            <w:tcW w:w="3120" w:type="dxa"/>
          </w:tcPr>
          <w:p>
            <w:pPr/>
            <w:r>
              <w:t xml:space="preserve">SQL scripts 01–04</w:t>
            </w:r>
          </w:p>
        </w:tc>
        <w:tc>
          <w:tcPr>
            <w:tcW w:w="4598" w:type="dxa"/>
          </w:tcPr>
          <w:p>
            <w:pPr/>
            <w:r>
              <w:t xml:space="preserve">Table setup, data quality, 25 business queries, advanced window-function analysis and a view</w:t>
            </w:r>
          </w:p>
        </w:tc>
        <w:tc>
          <w:tcPr>
            <w:tcW w:w="1642" w:type="dxa"/>
          </w:tcPr>
          <w:p>
            <w:pPr/>
            <w:r>
              <w:t xml:space="preserve">Complete (stray text, see Section 9)</w:t>
            </w:r>
          </w:p>
        </w:tc>
      </w:tr>
      <w:tr>
        <w:tc>
          <w:tcPr>
            <w:tcW w:w="3120" w:type="dxa"/>
          </w:tcPr>
          <w:p>
            <w:pPr/>
            <w:r>
              <w:t xml:space="preserve">Power BI dashboard</w:t>
            </w:r>
          </w:p>
        </w:tc>
        <w:tc>
          <w:tcPr>
            <w:tcW w:w="4598" w:type="dxa"/>
          </w:tcPr>
          <w:p>
            <w:pPr/>
            <w:r>
              <w:t xml:space="preserve">3 pages, 53 visuals, slicers on year, region, segment, category and ship mode</w:t>
            </w:r>
          </w:p>
        </w:tc>
        <w:tc>
          <w:tcPr>
            <w:tcW w:w="1642" w:type="dxa"/>
          </w:tcPr>
          <w:p>
            <w:pPr/>
            <w:r>
              <w:t xml:space="preserve">Complete</w:t>
            </w:r>
          </w:p>
        </w:tc>
      </w:tr>
      <w:tr>
        <w:tc>
          <w:tcPr>
            <w:tcW w:w="3120" w:type="dxa"/>
          </w:tcPr>
          <w:p>
            <w:pPr/>
            <w:r>
              <w:t xml:space="preserve">Screenshots</w:t>
            </w:r>
          </w:p>
        </w:tc>
        <w:tc>
          <w:tcPr>
            <w:tcW w:w="4598" w:type="dxa"/>
          </w:tcPr>
          <w:p>
            <w:pPr/>
            <w:r>
              <w:t xml:space="preserve">Empty folder</w:t>
            </w:r>
          </w:p>
        </w:tc>
        <w:tc>
          <w:tcPr>
            <w:tcW w:w="1642" w:type="dxa"/>
          </w:tcPr>
          <w:p>
            <w:pPr/>
            <w:r>
              <w:t xml:space="preserve">Missing</w:t>
            </w:r>
          </w:p>
        </w:tc>
      </w:tr>
    </w:tbl>
    <w:p>
      <w:pPr>
        <w:pStyle w:val="Heading2"/>
      </w:pPr>
      <w:r>
        <w:t xml:space="preserve">3. Data Description and Preparation</w:t>
      </w:r>
    </w:p>
    <w:p>
      <w:pPr/>
      <w:r>
        <w:rPr>
          <w:b/>
        </w:rPr>
        <w:t xml:space="preserve">Source data:</w:t>
      </w:r>
      <w:r>
        <w:t xml:space="preserve"> 9,800 order lines covering orders placed from 3 January 2015 to 30 December 2018, shipped to 49 states and 529 cities in the United States. Each row is one product line within an order.</w:t>
      </w:r>
    </w:p>
    <w:p>
      <w:pPr/>
      <w:r>
        <w:rPr>
          <w:b/>
        </w:rPr>
        <w:t xml:space="preserve">Fields:</w:t>
      </w:r>
      <w:r>
        <w:t xml:space="preserve"> order and ship dates, ship mode, customer ID and name, segment, geography (city, state, postal code, region), product ID, category, sub-category, product name and sales, plus engineered fields Year, Month, Month_Name, Quarter, Year_Month and Shipping_Days.</w:t>
      </w:r>
    </w:p>
    <w:p>
      <w:pPr/>
      <w:r>
        <w:rPr>
          <w:b/>
        </w:rPr>
        <w:t xml:space="preserve">Data quality results</w:t>
      </w:r>
    </w:p>
    <w:tbl>
      <w:tblPr>
        <w:tblStyle w:val="TableGrid"/>
        <w:tblW w:w="0" w:type="auto"/>
        <w:tblLayout w:type="fixed"/>
        <w:tblLook w:val="04A0" w:firstRow="1" w:lastRow="0" w:firstColumn="0" w:lastColumn="0" w:noHBand="0" w:noVBand="1"/>
      </w:tblPr>
      <w:tblGrid>
        <w:gridCol w:w="4261"/>
        <w:gridCol w:w="5098"/>
      </w:tblGrid>
      <w:tr>
        <w:trPr>
          <w:tblHeader/>
        </w:trPr>
        <w:tc>
          <w:tcPr>
            <w:tcW w:w="4261" w:type="dxa"/>
            <w:shd w:val="clear" w:color="auto" w:fill="F2F2F2"/>
          </w:tcPr>
          <w:p>
            <w:pPr/>
            <w:r>
              <w:t xml:space="preserve">Check</w:t>
            </w:r>
          </w:p>
        </w:tc>
        <w:tc>
          <w:tcPr>
            <w:tcW w:w="5098" w:type="dxa"/>
            <w:shd w:val="clear" w:color="auto" w:fill="F2F2F2"/>
          </w:tcPr>
          <w:p>
            <w:pPr/>
            <w:r>
              <w:t xml:space="preserve">Result</w:t>
            </w:r>
          </w:p>
        </w:tc>
      </w:tr>
      <w:tr>
        <w:tc>
          <w:tcPr>
            <w:tcW w:w="4261" w:type="dxa"/>
          </w:tcPr>
          <w:p>
            <w:pPr/>
            <w:r>
              <w:t xml:space="preserve">Exact duplicate rows</w:t>
            </w:r>
          </w:p>
        </w:tc>
        <w:tc>
          <w:tcPr>
            <w:tcW w:w="5098" w:type="dxa"/>
          </w:tcPr>
          <w:p>
            <w:pPr/>
            <w:r>
              <w:t xml:space="preserve">0</w:t>
            </w:r>
          </w:p>
        </w:tc>
      </w:tr>
      <w:tr>
        <w:tc>
          <w:tcPr>
            <w:tcW w:w="4261" w:type="dxa"/>
          </w:tcPr>
          <w:p>
            <w:pPr/>
            <w:r>
              <w:t xml:space="preserve">Missing values</w:t>
            </w:r>
          </w:p>
        </w:tc>
        <w:tc>
          <w:tcPr>
            <w:tcW w:w="5098" w:type="dxa"/>
          </w:tcPr>
          <w:p>
            <w:pPr/>
            <w:r>
              <w:t xml:space="preserve">11 postal codes, all for one city (Burlington); no other nulls</w:t>
            </w:r>
          </w:p>
        </w:tc>
      </w:tr>
      <w:tr>
        <w:tc>
          <w:tcPr>
            <w:tcW w:w="4261" w:type="dxa"/>
          </w:tcPr>
          <w:p>
            <w:pPr/>
            <w:r>
              <w:t xml:space="preserve">Sales ≤ 0</w:t>
            </w:r>
          </w:p>
        </w:tc>
        <w:tc>
          <w:tcPr>
            <w:tcW w:w="5098" w:type="dxa"/>
          </w:tcPr>
          <w:p>
            <w:pPr/>
            <w:r>
              <w:t xml:space="preserve">0 rows</w:t>
            </w:r>
          </w:p>
        </w:tc>
      </w:tr>
      <w:tr>
        <w:tc>
          <w:tcPr>
            <w:tcW w:w="4261" w:type="dxa"/>
          </w:tcPr>
          <w:p>
            <w:pPr/>
            <w:r>
              <w:t xml:space="preserve">Ship date earlier than order date</w:t>
            </w:r>
          </w:p>
        </w:tc>
        <w:tc>
          <w:tcPr>
            <w:tcW w:w="5098" w:type="dxa"/>
          </w:tcPr>
          <w:p>
            <w:pPr/>
            <w:r>
              <w:t xml:space="preserve">0 rows</w:t>
            </w:r>
          </w:p>
        </w:tc>
      </w:tr>
      <w:tr>
        <w:tc>
          <w:tcPr>
            <w:tcW w:w="4261" w:type="dxa"/>
          </w:tcPr>
          <w:p>
            <w:pPr/>
            <w:r>
              <w:t xml:space="preserve">Repeated Order ID + Product ID pairs</w:t>
            </w:r>
          </w:p>
        </w:tc>
        <w:tc>
          <w:tcPr>
            <w:tcW w:w="5098" w:type="dxa"/>
          </w:tcPr>
          <w:p>
            <w:pPr/>
            <w:r>
              <w:t xml:space="preserve">8 (likely separate line items with different values; not removed)</w:t>
            </w:r>
          </w:p>
        </w:tc>
      </w:tr>
      <w:tr>
        <w:tc>
          <w:tcPr>
            <w:tcW w:w="4261" w:type="dxa"/>
          </w:tcPr>
          <w:p>
            <w:pPr/>
            <w:r>
              <w:t xml:space="preserve">Sales range</w:t>
            </w:r>
          </w:p>
        </w:tc>
        <w:tc>
          <w:tcPr>
            <w:tcW w:w="5098" w:type="dxa"/>
          </w:tcPr>
          <w:p>
            <w:pPr/>
            <w:r>
              <w:t xml:space="preserve">$0.44 to $22,638; mean $231, median $54</w:t>
            </w:r>
          </w:p>
        </w:tc>
      </w:tr>
    </w:tbl>
    <w:p>
      <w:pPr/>
      <w:r>
        <w:rPr>
          <w:b/>
        </w:rPr>
        <w:t xml:space="preserve">Feature engineering:</w:t>
      </w:r>
      <w:r>
        <w:t xml:space="preserve"> date columns were converted, then Year, Month, Quarter, Year_Month and Shipping_Days (ship date minus order date) were derived. Shipping_Days ranges from 0 to 7 with a mean of 3.96.</w:t>
      </w:r>
    </w:p>
    <w:p>
      <w:pPr/>
      <w:r>
        <w:rPr>
          <w:b/>
        </w:rPr>
        <w:t xml:space="preserve">Interpretation:</w:t>
      </w:r>
      <w:r>
        <w:t xml:space="preserve"> the data is clean and analysis-ready. Sales is strongly right-skewed (mean $231 versus median $54; the largest line is $22.6K), so medians are often more representative than averages, and a few large orders matter a great deal.</w:t>
      </w:r>
    </w:p>
    <w:p>
      <w:pPr>
        <w:pStyle w:val="Heading2"/>
      </w:pPr>
      <w:r>
        <w:t xml:space="preserve">4. Overall Business KPIs</w:t>
      </w:r>
    </w:p>
    <w:tbl>
      <w:tblPr>
        <w:tblStyle w:val="TableGrid"/>
        <w:tblW w:w="0" w:type="auto"/>
        <w:tblLayout w:type="fixed"/>
        <w:tblLook w:val="04A0" w:firstRow="1" w:lastRow="0" w:firstColumn="0" w:lastColumn="0" w:noHBand="0" w:noVBand="1"/>
      </w:tblPr>
      <w:tblGrid>
        <w:gridCol w:w="4863"/>
        <w:gridCol w:w="4496"/>
      </w:tblGrid>
      <w:tr>
        <w:trPr>
          <w:tblHeader/>
        </w:trPr>
        <w:tc>
          <w:tcPr>
            <w:tcW w:w="4863" w:type="dxa"/>
            <w:shd w:val="clear" w:color="auto" w:fill="F2F2F2"/>
          </w:tcPr>
          <w:p>
            <w:pPr/>
            <w:r>
              <w:t xml:space="preserve">KPI</w:t>
            </w:r>
          </w:p>
        </w:tc>
        <w:tc>
          <w:tcPr>
            <w:tcW w:w="4496" w:type="dxa"/>
            <w:shd w:val="clear" w:color="auto" w:fill="F2F2F2"/>
          </w:tcPr>
          <w:p>
            <w:pPr/>
            <w:r>
              <w:t xml:space="preserve">Value</w:t>
            </w:r>
          </w:p>
        </w:tc>
      </w:tr>
      <w:tr>
        <w:tc>
          <w:tcPr>
            <w:tcW w:w="4863" w:type="dxa"/>
          </w:tcPr>
          <w:p>
            <w:pPr/>
            <w:r>
              <w:t xml:space="preserve">Total sales</w:t>
            </w:r>
          </w:p>
        </w:tc>
        <w:tc>
          <w:tcPr>
            <w:tcW w:w="4496" w:type="dxa"/>
          </w:tcPr>
          <w:p>
            <w:pPr/>
            <w:r>
              <w:t xml:space="preserve">$2,261,537</w:t>
            </w:r>
          </w:p>
        </w:tc>
      </w:tr>
      <w:tr>
        <w:tc>
          <w:tcPr>
            <w:tcW w:w="4863" w:type="dxa"/>
          </w:tcPr>
          <w:p>
            <w:pPr/>
            <w:r>
              <w:t xml:space="preserve">Total orders</w:t>
            </w:r>
          </w:p>
        </w:tc>
        <w:tc>
          <w:tcPr>
            <w:tcW w:w="4496" w:type="dxa"/>
          </w:tcPr>
          <w:p>
            <w:pPr/>
            <w:r>
              <w:t xml:space="preserve">4,922</w:t>
            </w:r>
          </w:p>
        </w:tc>
      </w:tr>
      <w:tr>
        <w:tc>
          <w:tcPr>
            <w:tcW w:w="4863" w:type="dxa"/>
          </w:tcPr>
          <w:p>
            <w:pPr/>
            <w:r>
              <w:t xml:space="preserve">Total customers</w:t>
            </w:r>
          </w:p>
        </w:tc>
        <w:tc>
          <w:tcPr>
            <w:tcW w:w="4496" w:type="dxa"/>
          </w:tcPr>
          <w:p>
            <w:pPr/>
            <w:r>
              <w:t xml:space="preserve">793</w:t>
            </w:r>
          </w:p>
        </w:tc>
      </w:tr>
      <w:tr>
        <w:tc>
          <w:tcPr>
            <w:tcW w:w="4863" w:type="dxa"/>
          </w:tcPr>
          <w:p>
            <w:pPr/>
            <w:r>
              <w:t xml:space="preserve">Total products (IDs)</w:t>
            </w:r>
          </w:p>
        </w:tc>
        <w:tc>
          <w:tcPr>
            <w:tcW w:w="4496" w:type="dxa"/>
          </w:tcPr>
          <w:p>
            <w:pPr/>
            <w:r>
              <w:t xml:space="preserve">1,861</w:t>
            </w:r>
          </w:p>
        </w:tc>
      </w:tr>
      <w:tr>
        <w:tc>
          <w:tcPr>
            <w:tcW w:w="4863" w:type="dxa"/>
          </w:tcPr>
          <w:p>
            <w:pPr/>
            <w:r>
              <w:t xml:space="preserve">Average order value</w:t>
            </w:r>
          </w:p>
        </w:tc>
        <w:tc>
          <w:tcPr>
            <w:tcW w:w="4496" w:type="dxa"/>
          </w:tcPr>
          <w:p>
            <w:pPr/>
            <w:r>
              <w:t xml:space="preserve">$459.48 (median $151.88)</w:t>
            </w:r>
          </w:p>
        </w:tc>
      </w:tr>
      <w:tr>
        <w:tc>
          <w:tcPr>
            <w:tcW w:w="4863" w:type="dxa"/>
          </w:tcPr>
          <w:p>
            <w:pPr/>
            <w:r>
              <w:t xml:space="preserve">Average sales per customer</w:t>
            </w:r>
          </w:p>
        </w:tc>
        <w:tc>
          <w:tcPr>
            <w:tcW w:w="4496" w:type="dxa"/>
          </w:tcPr>
          <w:p>
            <w:pPr/>
            <w:r>
              <w:t xml:space="preserve">$2,851.87</w:t>
            </w:r>
          </w:p>
        </w:tc>
      </w:tr>
      <w:tr>
        <w:tc>
          <w:tcPr>
            <w:tcW w:w="4863" w:type="dxa"/>
          </w:tcPr>
          <w:p>
            <w:pPr/>
            <w:r>
              <w:t xml:space="preserve">Average lines per order</w:t>
            </w:r>
          </w:p>
        </w:tc>
        <w:tc>
          <w:tcPr>
            <w:tcW w:w="4496" w:type="dxa"/>
          </w:tcPr>
          <w:p>
            <w:pPr/>
            <w:r>
              <w:t xml:space="preserve">1.99</w:t>
            </w:r>
          </w:p>
        </w:tc>
      </w:tr>
      <w:tr>
        <w:tc>
          <w:tcPr>
            <w:tcW w:w="4863" w:type="dxa"/>
          </w:tcPr>
          <w:p>
            <w:pPr/>
            <w:r>
              <w:t xml:space="preserve">Average shipping time</w:t>
            </w:r>
          </w:p>
        </w:tc>
        <w:tc>
          <w:tcPr>
            <w:tcW w:w="4496" w:type="dxa"/>
          </w:tcPr>
          <w:p>
            <w:pPr/>
            <w:r>
              <w:t xml:space="preserve">3.96 days</w:t>
            </w:r>
          </w:p>
        </w:tc>
      </w:tr>
    </w:tbl>
    <w:p>
      <w:pPr/>
      <w:r>
        <w:t xml:space="preserve">The gap between the mean and median order value ($459 versus $152) shows that a minority of large orders lifts the average. Most orders are small.</w:t>
      </w:r>
    </w:p>
    <w:p>
      <w:pPr>
        <w:pStyle w:val="Heading2"/>
      </w:pPr>
      <w:r>
        <w:t xml:space="preserve">5. Sales Performance Analysis</w:t>
      </w:r>
    </w:p>
    <w:p>
      <w:pPr>
        <w:pStyle w:val="Heading3"/>
      </w:pPr>
      <w:r>
        <w:t xml:space="preserve">5.1 Sales by category</w:t>
      </w:r>
    </w:p>
    <w:tbl>
      <w:tblPr>
        <w:tblStyle w:val="TableGrid"/>
        <w:tblW w:w="0" w:type="auto"/>
        <w:tblLayout w:type="fixed"/>
        <w:tblLook w:val="04A0" w:firstRow="1" w:lastRow="0" w:firstColumn="0" w:lastColumn="0" w:noHBand="0" w:noVBand="1"/>
      </w:tblPr>
      <w:tblGrid>
        <w:gridCol w:w="2615"/>
        <w:gridCol w:w="1614"/>
        <w:gridCol w:w="1234"/>
        <w:gridCol w:w="1279"/>
        <w:gridCol w:w="2616"/>
      </w:tblGrid>
      <w:tr>
        <w:trPr>
          <w:tblHeader/>
        </w:trPr>
        <w:tc>
          <w:tcPr>
            <w:tcW w:w="2615" w:type="dxa"/>
            <w:shd w:val="clear" w:color="auto" w:fill="F2F2F2"/>
          </w:tcPr>
          <w:p>
            <w:pPr/>
            <w:r>
              <w:t xml:space="preserve">Category</w:t>
            </w:r>
          </w:p>
        </w:tc>
        <w:tc>
          <w:tcPr>
            <w:tcW w:w="1614" w:type="dxa"/>
            <w:shd w:val="clear" w:color="auto" w:fill="F2F2F2"/>
          </w:tcPr>
          <w:p>
            <w:pPr/>
            <w:r>
              <w:t xml:space="preserve">Sales</w:t>
            </w:r>
          </w:p>
        </w:tc>
        <w:tc>
          <w:tcPr>
            <w:tcW w:w="1234" w:type="dxa"/>
            <w:shd w:val="clear" w:color="auto" w:fill="F2F2F2"/>
          </w:tcPr>
          <w:p>
            <w:pPr/>
            <w:r>
              <w:t xml:space="preserve">Share</w:t>
            </w:r>
          </w:p>
        </w:tc>
        <w:tc>
          <w:tcPr>
            <w:tcW w:w="1279" w:type="dxa"/>
            <w:shd w:val="clear" w:color="auto" w:fill="F2F2F2"/>
          </w:tcPr>
          <w:p>
            <w:pPr/>
            <w:r>
              <w:t xml:space="preserve">Orders</w:t>
            </w:r>
          </w:p>
        </w:tc>
        <w:tc>
          <w:tcPr>
            <w:tcW w:w="2616" w:type="dxa"/>
            <w:shd w:val="clear" w:color="auto" w:fill="F2F2F2"/>
          </w:tcPr>
          <w:p>
            <w:pPr/>
            <w:r>
              <w:t xml:space="preserve">Avg order value</w:t>
            </w:r>
          </w:p>
        </w:tc>
      </w:tr>
      <w:tr>
        <w:tc>
          <w:tcPr>
            <w:tcW w:w="2615" w:type="dxa"/>
          </w:tcPr>
          <w:p>
            <w:pPr/>
            <w:r>
              <w:t xml:space="preserve">Technology</w:t>
            </w:r>
          </w:p>
        </w:tc>
        <w:tc>
          <w:tcPr>
            <w:tcW w:w="1614" w:type="dxa"/>
          </w:tcPr>
          <w:p>
            <w:pPr/>
            <w:r>
              <w:t xml:space="preserve">$827,456</w:t>
            </w:r>
          </w:p>
        </w:tc>
        <w:tc>
          <w:tcPr>
            <w:tcW w:w="1234" w:type="dxa"/>
          </w:tcPr>
          <w:p>
            <w:pPr/>
            <w:r>
              <w:t xml:space="preserve">36.6%</w:t>
            </w:r>
          </w:p>
        </w:tc>
        <w:tc>
          <w:tcPr>
            <w:tcW w:w="1279" w:type="dxa"/>
          </w:tcPr>
          <w:p>
            <w:pPr/>
            <w:r>
              <w:t xml:space="preserve">1,519</w:t>
            </w:r>
          </w:p>
        </w:tc>
        <w:tc>
          <w:tcPr>
            <w:tcW w:w="2616" w:type="dxa"/>
          </w:tcPr>
          <w:p>
            <w:pPr/>
            <w:r>
              <w:t xml:space="preserve">$545</w:t>
            </w:r>
          </w:p>
        </w:tc>
      </w:tr>
      <w:tr>
        <w:tc>
          <w:tcPr>
            <w:tcW w:w="2615" w:type="dxa"/>
          </w:tcPr>
          <w:p>
            <w:pPr/>
            <w:r>
              <w:t xml:space="preserve">Furniture</w:t>
            </w:r>
          </w:p>
        </w:tc>
        <w:tc>
          <w:tcPr>
            <w:tcW w:w="1614" w:type="dxa"/>
          </w:tcPr>
          <w:p>
            <w:pPr/>
            <w:r>
              <w:t xml:space="preserve">$728,659</w:t>
            </w:r>
          </w:p>
        </w:tc>
        <w:tc>
          <w:tcPr>
            <w:tcW w:w="1234" w:type="dxa"/>
          </w:tcPr>
          <w:p>
            <w:pPr/>
            <w:r>
              <w:t xml:space="preserve">32.2%</w:t>
            </w:r>
          </w:p>
        </w:tc>
        <w:tc>
          <w:tcPr>
            <w:tcW w:w="1279" w:type="dxa"/>
          </w:tcPr>
          <w:p>
            <w:pPr/>
            <w:r>
              <w:t xml:space="preserve">1,727</w:t>
            </w:r>
          </w:p>
        </w:tc>
        <w:tc>
          <w:tcPr>
            <w:tcW w:w="2616" w:type="dxa"/>
          </w:tcPr>
          <w:p>
            <w:pPr/>
            <w:r>
              <w:t xml:space="preserve">$422</w:t>
            </w:r>
          </w:p>
        </w:tc>
      </w:tr>
      <w:tr>
        <w:tc>
          <w:tcPr>
            <w:tcW w:w="2615" w:type="dxa"/>
          </w:tcPr>
          <w:p>
            <w:pPr/>
            <w:r>
              <w:t xml:space="preserve">Office Supplies</w:t>
            </w:r>
          </w:p>
        </w:tc>
        <w:tc>
          <w:tcPr>
            <w:tcW w:w="1614" w:type="dxa"/>
          </w:tcPr>
          <w:p>
            <w:pPr/>
            <w:r>
              <w:t xml:space="preserve">$705,422</w:t>
            </w:r>
          </w:p>
        </w:tc>
        <w:tc>
          <w:tcPr>
            <w:tcW w:w="1234" w:type="dxa"/>
          </w:tcPr>
          <w:p>
            <w:pPr/>
            <w:r>
              <w:t xml:space="preserve">31.2%</w:t>
            </w:r>
          </w:p>
        </w:tc>
        <w:tc>
          <w:tcPr>
            <w:tcW w:w="1279" w:type="dxa"/>
          </w:tcPr>
          <w:p>
            <w:pPr/>
            <w:r>
              <w:t xml:space="preserve">3,676</w:t>
            </w:r>
          </w:p>
        </w:tc>
        <w:tc>
          <w:tcPr>
            <w:tcW w:w="2616" w:type="dxa"/>
          </w:tcPr>
          <w:p>
            <w:pPr/>
            <w:r>
              <w:t xml:space="preserve">$192</w:t>
            </w:r>
          </w:p>
        </w:tc>
      </w:tr>
    </w:tbl>
    <w:p>
      <w:pPr/>
      <w:r>
        <w:t xml:space="preserve">Technology earns the most revenue from the fewest orders. Office Supplies has more than twice the order count but the lowest order value, so it drives traffic and repeat purchasing while Technology drives revenue.</w:t>
      </w:r>
    </w:p>
    <w:p>
      <w:pPr>
        <w:pStyle w:val="Heading3"/>
      </w:pPr>
      <w:r>
        <w:t xml:space="preserve">5.2 Sub-category contribution</w:t>
      </w:r>
    </w:p>
    <w:tbl>
      <w:tblPr>
        <w:tblStyle w:val="TableGrid"/>
        <w:tblW w:w="0" w:type="auto"/>
        <w:tblLayout w:type="fixed"/>
        <w:tblLook w:val="04A0" w:firstRow="1" w:lastRow="0" w:firstColumn="0" w:lastColumn="0" w:noHBand="0" w:noVBand="1"/>
      </w:tblPr>
      <w:tblGrid>
        <w:gridCol w:w="2017"/>
        <w:gridCol w:w="4256"/>
        <w:gridCol w:w="3085"/>
      </w:tblGrid>
      <w:tr>
        <w:trPr>
          <w:tblHeader/>
        </w:trPr>
        <w:tc>
          <w:tcPr>
            <w:tcW w:w="2017" w:type="dxa"/>
            <w:shd w:val="clear" w:color="auto" w:fill="F2F2F2"/>
          </w:tcPr>
          <w:p>
            <w:pPr/>
            <w:r>
              <w:t xml:space="preserve">Rank</w:t>
            </w:r>
          </w:p>
        </w:tc>
        <w:tc>
          <w:tcPr>
            <w:tcW w:w="4256" w:type="dxa"/>
            <w:shd w:val="clear" w:color="auto" w:fill="F2F2F2"/>
          </w:tcPr>
          <w:p>
            <w:pPr/>
            <w:r>
              <w:t xml:space="preserve">Sub-category</w:t>
            </w:r>
          </w:p>
        </w:tc>
        <w:tc>
          <w:tcPr>
            <w:tcW w:w="3085" w:type="dxa"/>
            <w:shd w:val="clear" w:color="auto" w:fill="F2F2F2"/>
          </w:tcPr>
          <w:p>
            <w:pPr/>
            <w:r>
              <w:t xml:space="preserve">Sales</w:t>
            </w:r>
          </w:p>
        </w:tc>
      </w:tr>
      <w:tr>
        <w:tc>
          <w:tcPr>
            <w:tcW w:w="2017" w:type="dxa"/>
          </w:tcPr>
          <w:p>
            <w:pPr/>
            <w:r>
              <w:t xml:space="preserve">1</w:t>
            </w:r>
          </w:p>
        </w:tc>
        <w:tc>
          <w:tcPr>
            <w:tcW w:w="4256" w:type="dxa"/>
          </w:tcPr>
          <w:p>
            <w:pPr/>
            <w:r>
              <w:t xml:space="preserve">Phones</w:t>
            </w:r>
          </w:p>
        </w:tc>
        <w:tc>
          <w:tcPr>
            <w:tcW w:w="3085" w:type="dxa"/>
          </w:tcPr>
          <w:p>
            <w:pPr/>
            <w:r>
              <w:t xml:space="preserve">$327,782</w:t>
            </w:r>
          </w:p>
        </w:tc>
      </w:tr>
      <w:tr>
        <w:tc>
          <w:tcPr>
            <w:tcW w:w="2017" w:type="dxa"/>
          </w:tcPr>
          <w:p>
            <w:pPr/>
            <w:r>
              <w:t xml:space="preserve">2</w:t>
            </w:r>
          </w:p>
        </w:tc>
        <w:tc>
          <w:tcPr>
            <w:tcW w:w="4256" w:type="dxa"/>
          </w:tcPr>
          <w:p>
            <w:pPr/>
            <w:r>
              <w:t xml:space="preserve">Chairs</w:t>
            </w:r>
          </w:p>
        </w:tc>
        <w:tc>
          <w:tcPr>
            <w:tcW w:w="3085" w:type="dxa"/>
          </w:tcPr>
          <w:p>
            <w:pPr/>
            <w:r>
              <w:t xml:space="preserve">$322,823</w:t>
            </w:r>
          </w:p>
        </w:tc>
      </w:tr>
      <w:tr>
        <w:tc>
          <w:tcPr>
            <w:tcW w:w="2017" w:type="dxa"/>
          </w:tcPr>
          <w:p>
            <w:pPr/>
            <w:r>
              <w:t xml:space="preserve">3</w:t>
            </w:r>
          </w:p>
        </w:tc>
        <w:tc>
          <w:tcPr>
            <w:tcW w:w="4256" w:type="dxa"/>
          </w:tcPr>
          <w:p>
            <w:pPr/>
            <w:r>
              <w:t xml:space="preserve">Storage</w:t>
            </w:r>
          </w:p>
        </w:tc>
        <w:tc>
          <w:tcPr>
            <w:tcW w:w="3085" w:type="dxa"/>
          </w:tcPr>
          <w:p>
            <w:pPr/>
            <w:r>
              <w:t xml:space="preserve">$219,343</w:t>
            </w:r>
          </w:p>
        </w:tc>
      </w:tr>
      <w:tr>
        <w:tc>
          <w:tcPr>
            <w:tcW w:w="2017" w:type="dxa"/>
          </w:tcPr>
          <w:p>
            <w:pPr/>
            <w:r>
              <w:t xml:space="preserve">4</w:t>
            </w:r>
          </w:p>
        </w:tc>
        <w:tc>
          <w:tcPr>
            <w:tcW w:w="4256" w:type="dxa"/>
          </w:tcPr>
          <w:p>
            <w:pPr/>
            <w:r>
              <w:t xml:space="preserve">Tables</w:t>
            </w:r>
          </w:p>
        </w:tc>
        <w:tc>
          <w:tcPr>
            <w:tcW w:w="3085" w:type="dxa"/>
          </w:tcPr>
          <w:p>
            <w:pPr/>
            <w:r>
              <w:t xml:space="preserve">$202,811</w:t>
            </w:r>
          </w:p>
        </w:tc>
      </w:tr>
      <w:tr>
        <w:tc>
          <w:tcPr>
            <w:tcW w:w="2017" w:type="dxa"/>
          </w:tcPr>
          <w:p>
            <w:pPr/>
            <w:r>
              <w:t xml:space="preserve">5</w:t>
            </w:r>
          </w:p>
        </w:tc>
        <w:tc>
          <w:tcPr>
            <w:tcW w:w="4256" w:type="dxa"/>
          </w:tcPr>
          <w:p>
            <w:pPr/>
            <w:r>
              <w:t xml:space="preserve">Binders</w:t>
            </w:r>
          </w:p>
        </w:tc>
        <w:tc>
          <w:tcPr>
            <w:tcW w:w="3085" w:type="dxa"/>
          </w:tcPr>
          <w:p>
            <w:pPr/>
            <w:r>
              <w:t xml:space="preserve">$200,029</w:t>
            </w:r>
          </w:p>
        </w:tc>
      </w:tr>
      <w:tr>
        <w:tc>
          <w:tcPr>
            <w:tcW w:w="2017" w:type="dxa"/>
          </w:tcPr>
          <w:p>
            <w:pPr/>
            <w:r>
              <w:t xml:space="preserve">6</w:t>
            </w:r>
          </w:p>
        </w:tc>
        <w:tc>
          <w:tcPr>
            <w:tcW w:w="4256" w:type="dxa"/>
          </w:tcPr>
          <w:p>
            <w:pPr/>
            <w:r>
              <w:t xml:space="preserve">Machines</w:t>
            </w:r>
          </w:p>
        </w:tc>
        <w:tc>
          <w:tcPr>
            <w:tcW w:w="3085" w:type="dxa"/>
          </w:tcPr>
          <w:p>
            <w:pPr/>
            <w:r>
              <w:t xml:space="preserve">$189,239</w:t>
            </w:r>
          </w:p>
        </w:tc>
      </w:tr>
      <w:tr>
        <w:tc>
          <w:tcPr>
            <w:tcW w:w="2017" w:type="dxa"/>
          </w:tcPr>
          <w:p>
            <w:pPr/>
            <w:r>
              <w:t xml:space="preserve">7</w:t>
            </w:r>
          </w:p>
        </w:tc>
        <w:tc>
          <w:tcPr>
            <w:tcW w:w="4256" w:type="dxa"/>
          </w:tcPr>
          <w:p>
            <w:pPr/>
            <w:r>
              <w:t xml:space="preserve">Accessories</w:t>
            </w:r>
          </w:p>
        </w:tc>
        <w:tc>
          <w:tcPr>
            <w:tcW w:w="3085" w:type="dxa"/>
          </w:tcPr>
          <w:p>
            <w:pPr/>
            <w:r>
              <w:t xml:space="preserve">$164,187</w:t>
            </w:r>
          </w:p>
        </w:tc>
      </w:tr>
      <w:tr>
        <w:tc>
          <w:tcPr>
            <w:tcW w:w="2017" w:type="dxa"/>
          </w:tcPr>
          <w:p>
            <w:pPr/>
            <w:r>
              <w:t xml:space="preserve">8</w:t>
            </w:r>
          </w:p>
        </w:tc>
        <w:tc>
          <w:tcPr>
            <w:tcW w:w="4256" w:type="dxa"/>
          </w:tcPr>
          <w:p>
            <w:pPr/>
            <w:r>
              <w:t xml:space="preserve">Copiers</w:t>
            </w:r>
          </w:p>
        </w:tc>
        <w:tc>
          <w:tcPr>
            <w:tcW w:w="3085" w:type="dxa"/>
          </w:tcPr>
          <w:p>
            <w:pPr/>
            <w:r>
              <w:t xml:space="preserve">$146,248</w:t>
            </w:r>
          </w:p>
        </w:tc>
      </w:tr>
      <w:tr>
        <w:tc>
          <w:tcPr>
            <w:tcW w:w="2017" w:type="dxa"/>
          </w:tcPr>
          <w:p>
            <w:pPr/>
            <w:r>
              <w:t xml:space="preserve">9</w:t>
            </w:r>
          </w:p>
        </w:tc>
        <w:tc>
          <w:tcPr>
            <w:tcW w:w="4256" w:type="dxa"/>
          </w:tcPr>
          <w:p>
            <w:pPr/>
            <w:r>
              <w:t xml:space="preserve">Bookcases</w:t>
            </w:r>
          </w:p>
        </w:tc>
        <w:tc>
          <w:tcPr>
            <w:tcW w:w="3085" w:type="dxa"/>
          </w:tcPr>
          <w:p>
            <w:pPr/>
            <w:r>
              <w:t xml:space="preserve">$113,813</w:t>
            </w:r>
          </w:p>
        </w:tc>
      </w:tr>
      <w:tr>
        <w:tc>
          <w:tcPr>
            <w:tcW w:w="2017" w:type="dxa"/>
          </w:tcPr>
          <w:p>
            <w:pPr/>
            <w:r>
              <w:t xml:space="preserve">10</w:t>
            </w:r>
          </w:p>
        </w:tc>
        <w:tc>
          <w:tcPr>
            <w:tcW w:w="4256" w:type="dxa"/>
          </w:tcPr>
          <w:p>
            <w:pPr/>
            <w:r>
              <w:t xml:space="preserve">Appliances</w:t>
            </w:r>
          </w:p>
        </w:tc>
        <w:tc>
          <w:tcPr>
            <w:tcW w:w="3085" w:type="dxa"/>
          </w:tcPr>
          <w:p>
            <w:pPr/>
            <w:r>
              <w:t xml:space="preserve">$104,618</w:t>
            </w:r>
          </w:p>
        </w:tc>
      </w:tr>
    </w:tbl>
    <w:p>
      <w:pPr/>
      <w:r>
        <w:t xml:space="preserve">The top four sub-categories (Phones, Chairs, Storage, Tables) make up 47% of sales. The weakest are Fasteners ($3.0K), Labels ($12.3K), Envelopes ($16.1K) and Art ($26.7K), together under 3% of revenue.</w:t>
      </w:r>
    </w:p>
    <w:p>
      <w:pPr>
        <w:pStyle w:val="Heading3"/>
      </w:pPr>
      <w:r>
        <w:t xml:space="preserve">5.3 Regional performance</w:t>
      </w:r>
    </w:p>
    <w:tbl>
      <w:tblPr>
        <w:tblStyle w:val="TableGrid"/>
        <w:tblW w:w="0" w:type="auto"/>
        <w:tblLayout w:type="fixed"/>
        <w:tblLook w:val="04A0" w:firstRow="1" w:lastRow="0" w:firstColumn="0" w:lastColumn="0" w:noHBand="0" w:noVBand="1"/>
      </w:tblPr>
      <w:tblGrid>
        <w:gridCol w:w="1599"/>
        <w:gridCol w:w="1857"/>
        <w:gridCol w:w="1420"/>
        <w:gridCol w:w="1472"/>
        <w:gridCol w:w="3010"/>
      </w:tblGrid>
      <w:tr>
        <w:trPr>
          <w:tblHeader/>
        </w:trPr>
        <w:tc>
          <w:tcPr>
            <w:tcW w:w="1599" w:type="dxa"/>
            <w:shd w:val="clear" w:color="auto" w:fill="F2F2F2"/>
          </w:tcPr>
          <w:p>
            <w:pPr/>
            <w:r>
              <w:t xml:space="preserve">Region</w:t>
            </w:r>
          </w:p>
        </w:tc>
        <w:tc>
          <w:tcPr>
            <w:tcW w:w="1857" w:type="dxa"/>
            <w:shd w:val="clear" w:color="auto" w:fill="F2F2F2"/>
          </w:tcPr>
          <w:p>
            <w:pPr/>
            <w:r>
              <w:t xml:space="preserve">Sales</w:t>
            </w:r>
          </w:p>
        </w:tc>
        <w:tc>
          <w:tcPr>
            <w:tcW w:w="1420" w:type="dxa"/>
            <w:shd w:val="clear" w:color="auto" w:fill="F2F2F2"/>
          </w:tcPr>
          <w:p>
            <w:pPr/>
            <w:r>
              <w:t xml:space="preserve">Share</w:t>
            </w:r>
          </w:p>
        </w:tc>
        <w:tc>
          <w:tcPr>
            <w:tcW w:w="1472" w:type="dxa"/>
            <w:shd w:val="clear" w:color="auto" w:fill="F2F2F2"/>
          </w:tcPr>
          <w:p>
            <w:pPr/>
            <w:r>
              <w:t xml:space="preserve">Orders</w:t>
            </w:r>
          </w:p>
        </w:tc>
        <w:tc>
          <w:tcPr>
            <w:tcW w:w="3010" w:type="dxa"/>
            <w:shd w:val="clear" w:color="auto" w:fill="F2F2F2"/>
          </w:tcPr>
          <w:p>
            <w:pPr/>
            <w:r>
              <w:t xml:space="preserve">Avg order value</w:t>
            </w:r>
          </w:p>
        </w:tc>
      </w:tr>
      <w:tr>
        <w:tc>
          <w:tcPr>
            <w:tcW w:w="1599" w:type="dxa"/>
          </w:tcPr>
          <w:p>
            <w:pPr/>
            <w:r>
              <w:t xml:space="preserve">West</w:t>
            </w:r>
          </w:p>
        </w:tc>
        <w:tc>
          <w:tcPr>
            <w:tcW w:w="1857" w:type="dxa"/>
          </w:tcPr>
          <w:p>
            <w:pPr/>
            <w:r>
              <w:t xml:space="preserve">$710,220</w:t>
            </w:r>
          </w:p>
        </w:tc>
        <w:tc>
          <w:tcPr>
            <w:tcW w:w="1420" w:type="dxa"/>
          </w:tcPr>
          <w:p>
            <w:pPr/>
            <w:r>
              <w:t xml:space="preserve">31.4%</w:t>
            </w:r>
          </w:p>
        </w:tc>
        <w:tc>
          <w:tcPr>
            <w:tcW w:w="1472" w:type="dxa"/>
          </w:tcPr>
          <w:p>
            <w:pPr/>
            <w:r>
              <w:t xml:space="preserve">1,587</w:t>
            </w:r>
          </w:p>
        </w:tc>
        <w:tc>
          <w:tcPr>
            <w:tcW w:w="3010" w:type="dxa"/>
          </w:tcPr>
          <w:p>
            <w:pPr/>
            <w:r>
              <w:t xml:space="preserve">$448</w:t>
            </w:r>
          </w:p>
        </w:tc>
      </w:tr>
      <w:tr>
        <w:tc>
          <w:tcPr>
            <w:tcW w:w="1599" w:type="dxa"/>
          </w:tcPr>
          <w:p>
            <w:pPr/>
            <w:r>
              <w:t xml:space="preserve">East</w:t>
            </w:r>
          </w:p>
        </w:tc>
        <w:tc>
          <w:tcPr>
            <w:tcW w:w="1857" w:type="dxa"/>
          </w:tcPr>
          <w:p>
            <w:pPr/>
            <w:r>
              <w:t xml:space="preserve">$669,519</w:t>
            </w:r>
          </w:p>
        </w:tc>
        <w:tc>
          <w:tcPr>
            <w:tcW w:w="1420" w:type="dxa"/>
          </w:tcPr>
          <w:p>
            <w:pPr/>
            <w:r>
              <w:t xml:space="preserve">29.6%</w:t>
            </w:r>
          </w:p>
        </w:tc>
        <w:tc>
          <w:tcPr>
            <w:tcW w:w="1472" w:type="dxa"/>
          </w:tcPr>
          <w:p>
            <w:pPr/>
            <w:r>
              <w:t xml:space="preserve">1,369</w:t>
            </w:r>
          </w:p>
        </w:tc>
        <w:tc>
          <w:tcPr>
            <w:tcW w:w="3010" w:type="dxa"/>
          </w:tcPr>
          <w:p>
            <w:pPr/>
            <w:r>
              <w:t xml:space="preserve">$489</w:t>
            </w:r>
          </w:p>
        </w:tc>
      </w:tr>
      <w:tr>
        <w:tc>
          <w:tcPr>
            <w:tcW w:w="1599" w:type="dxa"/>
          </w:tcPr>
          <w:p>
            <w:pPr/>
            <w:r>
              <w:t xml:space="preserve">Central</w:t>
            </w:r>
          </w:p>
        </w:tc>
        <w:tc>
          <w:tcPr>
            <w:tcW w:w="1857" w:type="dxa"/>
          </w:tcPr>
          <w:p>
            <w:pPr/>
            <w:r>
              <w:t xml:space="preserve">$492,647</w:t>
            </w:r>
          </w:p>
        </w:tc>
        <w:tc>
          <w:tcPr>
            <w:tcW w:w="1420" w:type="dxa"/>
          </w:tcPr>
          <w:p>
            <w:pPr/>
            <w:r>
              <w:t xml:space="preserve">21.8%</w:t>
            </w:r>
          </w:p>
        </w:tc>
        <w:tc>
          <w:tcPr>
            <w:tcW w:w="1472" w:type="dxa"/>
          </w:tcPr>
          <w:p>
            <w:pPr/>
            <w:r>
              <w:t xml:space="preserve">1,156</w:t>
            </w:r>
          </w:p>
        </w:tc>
        <w:tc>
          <w:tcPr>
            <w:tcW w:w="3010" w:type="dxa"/>
          </w:tcPr>
          <w:p>
            <w:pPr/>
            <w:r>
              <w:t xml:space="preserve">$426</w:t>
            </w:r>
          </w:p>
        </w:tc>
      </w:tr>
      <w:tr>
        <w:tc>
          <w:tcPr>
            <w:tcW w:w="1599" w:type="dxa"/>
          </w:tcPr>
          <w:p>
            <w:pPr/>
            <w:r>
              <w:t xml:space="preserve">South</w:t>
            </w:r>
          </w:p>
        </w:tc>
        <w:tc>
          <w:tcPr>
            <w:tcW w:w="1857" w:type="dxa"/>
          </w:tcPr>
          <w:p>
            <w:pPr/>
            <w:r>
              <w:t xml:space="preserve">$389,151</w:t>
            </w:r>
          </w:p>
        </w:tc>
        <w:tc>
          <w:tcPr>
            <w:tcW w:w="1420" w:type="dxa"/>
          </w:tcPr>
          <w:p>
            <w:pPr/>
            <w:r>
              <w:t xml:space="preserve">17.2%</w:t>
            </w:r>
          </w:p>
        </w:tc>
        <w:tc>
          <w:tcPr>
            <w:tcW w:w="1472" w:type="dxa"/>
          </w:tcPr>
          <w:p>
            <w:pPr/>
            <w:r>
              <w:t xml:space="preserve">810</w:t>
            </w:r>
          </w:p>
        </w:tc>
        <w:tc>
          <w:tcPr>
            <w:tcW w:w="3010" w:type="dxa"/>
          </w:tcPr>
          <w:p>
            <w:pPr/>
            <w:r>
              <w:t xml:space="preserve">$480</w:t>
            </w:r>
          </w:p>
        </w:tc>
      </w:tr>
    </w:tbl>
    <w:p>
      <w:pPr/>
      <w:r>
        <w:t xml:space="preserve">West leads on revenue and order volume. South is the smallest region with the fewest orders, despite a healthy average order value ($480), which suggests a reach or coverage problem rather than a pricing problem.</w:t>
      </w:r>
    </w:p>
    <w:p>
      <w:pPr>
        <w:pStyle w:val="Heading3"/>
      </w:pPr>
      <w:r>
        <w:t xml:space="preserve">5.4 Customer segments</w:t>
      </w:r>
    </w:p>
    <w:tbl>
      <w:tblPr>
        <w:tblStyle w:val="TableGrid"/>
        <w:tblW w:w="0" w:type="auto"/>
        <w:tblLayout w:type="fixed"/>
        <w:tblLook w:val="04A0" w:firstRow="1" w:lastRow="0" w:firstColumn="0" w:lastColumn="0" w:noHBand="0" w:noVBand="1"/>
      </w:tblPr>
      <w:tblGrid>
        <w:gridCol w:w="1962"/>
        <w:gridCol w:w="1705"/>
        <w:gridCol w:w="1111"/>
        <w:gridCol w:w="1712"/>
        <w:gridCol w:w="2867"/>
      </w:tblGrid>
      <w:tr>
        <w:trPr>
          <w:tblHeader/>
        </w:trPr>
        <w:tc>
          <w:tcPr>
            <w:tcW w:w="1962" w:type="dxa"/>
            <w:shd w:val="clear" w:color="auto" w:fill="F2F2F2"/>
          </w:tcPr>
          <w:p>
            <w:pPr/>
            <w:r>
              <w:t xml:space="preserve">Segment</w:t>
            </w:r>
          </w:p>
        </w:tc>
        <w:tc>
          <w:tcPr>
            <w:tcW w:w="1705" w:type="dxa"/>
            <w:shd w:val="clear" w:color="auto" w:fill="F2F2F2"/>
          </w:tcPr>
          <w:p>
            <w:pPr/>
            <w:r>
              <w:t xml:space="preserve">Sales</w:t>
            </w:r>
          </w:p>
        </w:tc>
        <w:tc>
          <w:tcPr>
            <w:tcW w:w="1111" w:type="dxa"/>
            <w:shd w:val="clear" w:color="auto" w:fill="F2F2F2"/>
          </w:tcPr>
          <w:p>
            <w:pPr/>
            <w:r>
              <w:t xml:space="preserve">Share</w:t>
            </w:r>
          </w:p>
        </w:tc>
        <w:tc>
          <w:tcPr>
            <w:tcW w:w="1712" w:type="dxa"/>
            <w:shd w:val="clear" w:color="auto" w:fill="F2F2F2"/>
          </w:tcPr>
          <w:p>
            <w:pPr/>
            <w:r>
              <w:t xml:space="preserve">Customers</w:t>
            </w:r>
          </w:p>
        </w:tc>
        <w:tc>
          <w:tcPr>
            <w:tcW w:w="2867" w:type="dxa"/>
            <w:shd w:val="clear" w:color="auto" w:fill="F2F2F2"/>
          </w:tcPr>
          <w:p>
            <w:pPr/>
            <w:r>
              <w:t xml:space="preserve">Sales per customer</w:t>
            </w:r>
          </w:p>
        </w:tc>
      </w:tr>
      <w:tr>
        <w:tc>
          <w:tcPr>
            <w:tcW w:w="1962" w:type="dxa"/>
          </w:tcPr>
          <w:p>
            <w:pPr/>
            <w:r>
              <w:t xml:space="preserve">Consumer</w:t>
            </w:r>
          </w:p>
        </w:tc>
        <w:tc>
          <w:tcPr>
            <w:tcW w:w="1705" w:type="dxa"/>
          </w:tcPr>
          <w:p>
            <w:pPr/>
            <w:r>
              <w:t xml:space="preserve">$1,148,061</w:t>
            </w:r>
          </w:p>
        </w:tc>
        <w:tc>
          <w:tcPr>
            <w:tcW w:w="1111" w:type="dxa"/>
          </w:tcPr>
          <w:p>
            <w:pPr/>
            <w:r>
              <w:t xml:space="preserve">50.8%</w:t>
            </w:r>
          </w:p>
        </w:tc>
        <w:tc>
          <w:tcPr>
            <w:tcW w:w="1712" w:type="dxa"/>
          </w:tcPr>
          <w:p>
            <w:pPr/>
            <w:r>
              <w:t xml:space="preserve">409</w:t>
            </w:r>
          </w:p>
        </w:tc>
        <w:tc>
          <w:tcPr>
            <w:tcW w:w="2867" w:type="dxa"/>
          </w:tcPr>
          <w:p>
            <w:pPr/>
            <w:r>
              <w:t xml:space="preserve">$2,807</w:t>
            </w:r>
          </w:p>
        </w:tc>
      </w:tr>
      <w:tr>
        <w:tc>
          <w:tcPr>
            <w:tcW w:w="1962" w:type="dxa"/>
          </w:tcPr>
          <w:p>
            <w:pPr/>
            <w:r>
              <w:t xml:space="preserve">Corporate</w:t>
            </w:r>
          </w:p>
        </w:tc>
        <w:tc>
          <w:tcPr>
            <w:tcW w:w="1705" w:type="dxa"/>
          </w:tcPr>
          <w:p>
            <w:pPr/>
            <w:r>
              <w:t xml:space="preserve">$688,494</w:t>
            </w:r>
          </w:p>
        </w:tc>
        <w:tc>
          <w:tcPr>
            <w:tcW w:w="1111" w:type="dxa"/>
          </w:tcPr>
          <w:p>
            <w:pPr/>
            <w:r>
              <w:t xml:space="preserve">30.4%</w:t>
            </w:r>
          </w:p>
        </w:tc>
        <w:tc>
          <w:tcPr>
            <w:tcW w:w="1712" w:type="dxa"/>
          </w:tcPr>
          <w:p>
            <w:pPr/>
            <w:r>
              <w:t xml:space="preserve">236</w:t>
            </w:r>
          </w:p>
        </w:tc>
        <w:tc>
          <w:tcPr>
            <w:tcW w:w="2867" w:type="dxa"/>
          </w:tcPr>
          <w:p>
            <w:pPr/>
            <w:r>
              <w:t xml:space="preserve">$2,917</w:t>
            </w:r>
          </w:p>
        </w:tc>
      </w:tr>
      <w:tr>
        <w:tc>
          <w:tcPr>
            <w:tcW w:w="1962" w:type="dxa"/>
          </w:tcPr>
          <w:p>
            <w:pPr/>
            <w:r>
              <w:t xml:space="preserve">Home Office</w:t>
            </w:r>
          </w:p>
        </w:tc>
        <w:tc>
          <w:tcPr>
            <w:tcW w:w="1705" w:type="dxa"/>
          </w:tcPr>
          <w:p>
            <w:pPr/>
            <w:r>
              <w:t xml:space="preserve">$424,982</w:t>
            </w:r>
          </w:p>
        </w:tc>
        <w:tc>
          <w:tcPr>
            <w:tcW w:w="1111" w:type="dxa"/>
          </w:tcPr>
          <w:p>
            <w:pPr/>
            <w:r>
              <w:t xml:space="preserve">18.8%</w:t>
            </w:r>
          </w:p>
        </w:tc>
        <w:tc>
          <w:tcPr>
            <w:tcW w:w="1712" w:type="dxa"/>
          </w:tcPr>
          <w:p>
            <w:pPr/>
            <w:r>
              <w:t xml:space="preserve">148</w:t>
            </w:r>
          </w:p>
        </w:tc>
        <w:tc>
          <w:tcPr>
            <w:tcW w:w="2867" w:type="dxa"/>
          </w:tcPr>
          <w:p>
            <w:pPr/>
            <w:r>
              <w:t xml:space="preserve">$2,872</w:t>
            </w:r>
          </w:p>
        </w:tc>
      </w:tr>
    </w:tbl>
    <w:p>
      <w:pPr/>
      <w:r>
        <w:t xml:space="preserve">Consumer is the largest segment by volume of customers, but per-customer spend is almost identical across all three segments. Revenue differences come from how many customers each segment has, not how much each spends.</w:t>
      </w:r>
    </w:p>
    <w:p>
      <w:pPr>
        <w:pStyle w:val="Heading3"/>
      </w:pPr>
      <w:r>
        <w:t xml:space="preserve">5.5 Geography: states and cities</w:t>
      </w:r>
    </w:p>
    <w:tbl>
      <w:tblPr>
        <w:tblStyle w:val="TableGrid"/>
        <w:tblW w:w="0" w:type="auto"/>
        <w:tblLayout w:type="fixed"/>
        <w:tblLook w:val="04A0" w:firstRow="1" w:lastRow="0" w:firstColumn="0" w:lastColumn="0" w:noHBand="0" w:noVBand="1"/>
      </w:tblPr>
      <w:tblGrid>
        <w:gridCol w:w="4162"/>
        <w:gridCol w:w="2945"/>
        <w:gridCol w:w="2252"/>
      </w:tblGrid>
      <w:tr>
        <w:trPr>
          <w:tblHeader/>
        </w:trPr>
        <w:tc>
          <w:tcPr>
            <w:tcW w:w="4162" w:type="dxa"/>
            <w:shd w:val="clear" w:color="auto" w:fill="F2F2F2"/>
          </w:tcPr>
          <w:p>
            <w:pPr/>
            <w:r>
              <w:t xml:space="preserve">State</w:t>
            </w:r>
          </w:p>
        </w:tc>
        <w:tc>
          <w:tcPr>
            <w:tcW w:w="2945" w:type="dxa"/>
            <w:shd w:val="clear" w:color="auto" w:fill="F2F2F2"/>
          </w:tcPr>
          <w:p>
            <w:pPr/>
            <w:r>
              <w:t xml:space="preserve">Sales</w:t>
            </w:r>
          </w:p>
        </w:tc>
        <w:tc>
          <w:tcPr>
            <w:tcW w:w="2252" w:type="dxa"/>
            <w:shd w:val="clear" w:color="auto" w:fill="F2F2F2"/>
          </w:tcPr>
          <w:p>
            <w:pPr/>
            <w:r>
              <w:t xml:space="preserve">Share</w:t>
            </w:r>
          </w:p>
        </w:tc>
      </w:tr>
      <w:tr>
        <w:tc>
          <w:tcPr>
            <w:tcW w:w="4162" w:type="dxa"/>
          </w:tcPr>
          <w:p>
            <w:pPr/>
            <w:r>
              <w:t xml:space="preserve">California</w:t>
            </w:r>
          </w:p>
        </w:tc>
        <w:tc>
          <w:tcPr>
            <w:tcW w:w="2945" w:type="dxa"/>
          </w:tcPr>
          <w:p>
            <w:pPr/>
            <w:r>
              <w:t xml:space="preserve">$446,306</w:t>
            </w:r>
          </w:p>
        </w:tc>
        <w:tc>
          <w:tcPr>
            <w:tcW w:w="2252" w:type="dxa"/>
          </w:tcPr>
          <w:p>
            <w:pPr/>
            <w:r>
              <w:t xml:space="preserve">19.7%</w:t>
            </w:r>
          </w:p>
        </w:tc>
      </w:tr>
      <w:tr>
        <w:tc>
          <w:tcPr>
            <w:tcW w:w="4162" w:type="dxa"/>
          </w:tcPr>
          <w:p>
            <w:pPr/>
            <w:r>
              <w:t xml:space="preserve">New York</w:t>
            </w:r>
          </w:p>
        </w:tc>
        <w:tc>
          <w:tcPr>
            <w:tcW w:w="2945" w:type="dxa"/>
          </w:tcPr>
          <w:p>
            <w:pPr/>
            <w:r>
              <w:t xml:space="preserve">$306,361</w:t>
            </w:r>
          </w:p>
        </w:tc>
        <w:tc>
          <w:tcPr>
            <w:tcW w:w="2252" w:type="dxa"/>
          </w:tcPr>
          <w:p>
            <w:pPr/>
            <w:r>
              <w:t xml:space="preserve">13.5%</w:t>
            </w:r>
          </w:p>
        </w:tc>
      </w:tr>
      <w:tr>
        <w:tc>
          <w:tcPr>
            <w:tcW w:w="4162" w:type="dxa"/>
          </w:tcPr>
          <w:p>
            <w:pPr/>
            <w:r>
              <w:t xml:space="preserve">Texas</w:t>
            </w:r>
          </w:p>
        </w:tc>
        <w:tc>
          <w:tcPr>
            <w:tcW w:w="2945" w:type="dxa"/>
          </w:tcPr>
          <w:p>
            <w:pPr/>
            <w:r>
              <w:t xml:space="preserve">$168,573</w:t>
            </w:r>
          </w:p>
        </w:tc>
        <w:tc>
          <w:tcPr>
            <w:tcW w:w="2252" w:type="dxa"/>
          </w:tcPr>
          <w:p>
            <w:pPr/>
            <w:r>
              <w:t xml:space="preserve">7.5%</w:t>
            </w:r>
          </w:p>
        </w:tc>
      </w:tr>
      <w:tr>
        <w:tc>
          <w:tcPr>
            <w:tcW w:w="4162" w:type="dxa"/>
          </w:tcPr>
          <w:p>
            <w:pPr/>
            <w:r>
              <w:t xml:space="preserve">Washington</w:t>
            </w:r>
          </w:p>
        </w:tc>
        <w:tc>
          <w:tcPr>
            <w:tcW w:w="2945" w:type="dxa"/>
          </w:tcPr>
          <w:p>
            <w:pPr/>
            <w:r>
              <w:t xml:space="preserve">$135,207</w:t>
            </w:r>
          </w:p>
        </w:tc>
        <w:tc>
          <w:tcPr>
            <w:tcW w:w="2252" w:type="dxa"/>
          </w:tcPr>
          <w:p>
            <w:pPr/>
            <w:r>
              <w:t xml:space="preserve">6.0%</w:t>
            </w:r>
          </w:p>
        </w:tc>
      </w:tr>
      <w:tr>
        <w:tc>
          <w:tcPr>
            <w:tcW w:w="4162" w:type="dxa"/>
          </w:tcPr>
          <w:p>
            <w:pPr/>
            <w:r>
              <w:t xml:space="preserve">Pennsylvania</w:t>
            </w:r>
          </w:p>
        </w:tc>
        <w:tc>
          <w:tcPr>
            <w:tcW w:w="2945" w:type="dxa"/>
          </w:tcPr>
          <w:p>
            <w:pPr/>
            <w:r>
              <w:t xml:space="preserve">$116,277</w:t>
            </w:r>
          </w:p>
        </w:tc>
        <w:tc>
          <w:tcPr>
            <w:tcW w:w="2252" w:type="dxa"/>
          </w:tcPr>
          <w:p>
            <w:pPr/>
            <w:r>
              <w:t xml:space="preserve">5.1%</w:t>
            </w:r>
          </w:p>
        </w:tc>
      </w:tr>
    </w:tbl>
    <w:p>
      <w:pPr/>
      <w:r>
        <w:t xml:space="preserve">Top cities are New York City ($252K, 11.2% of all sales), Los Angeles ($173K), Seattle ($116K), San Francisco ($109K) and Philadelphia ($109K). The weakest states (Wyoming, South Dakota, Maine, West Virginia, North Dakota) each sell under $2K, so reach is very uneven.</w:t>
      </w:r>
    </w:p>
    <w:p>
      <w:pPr>
        <w:pStyle w:val="Heading3"/>
      </w:pPr>
      <w:r>
        <w:t xml:space="preserve">5.6 Shipping performance</w:t>
      </w:r>
    </w:p>
    <w:tbl>
      <w:tblPr>
        <w:tblStyle w:val="TableGrid"/>
        <w:tblW w:w="0" w:type="auto"/>
        <w:tblLayout w:type="fixed"/>
        <w:tblLook w:val="04A0" w:firstRow="1" w:lastRow="0" w:firstColumn="0" w:lastColumn="0" w:noHBand="0" w:noVBand="1"/>
      </w:tblPr>
      <w:tblGrid>
        <w:gridCol w:w="3010"/>
        <w:gridCol w:w="2881"/>
        <w:gridCol w:w="1505"/>
        <w:gridCol w:w="1963"/>
      </w:tblGrid>
      <w:tr>
        <w:trPr>
          <w:tblHeader/>
        </w:trPr>
        <w:tc>
          <w:tcPr>
            <w:tcW w:w="3010" w:type="dxa"/>
            <w:shd w:val="clear" w:color="auto" w:fill="F2F2F2"/>
          </w:tcPr>
          <w:p>
            <w:pPr/>
            <w:r>
              <w:t xml:space="preserve">Ship mode</w:t>
            </w:r>
          </w:p>
        </w:tc>
        <w:tc>
          <w:tcPr>
            <w:tcW w:w="2881" w:type="dxa"/>
            <w:shd w:val="clear" w:color="auto" w:fill="F2F2F2"/>
          </w:tcPr>
          <w:p>
            <w:pPr/>
            <w:r>
              <w:t xml:space="preserve">Share of sales</w:t>
            </w:r>
          </w:p>
        </w:tc>
        <w:tc>
          <w:tcPr>
            <w:tcW w:w="1505" w:type="dxa"/>
            <w:shd w:val="clear" w:color="auto" w:fill="F2F2F2"/>
          </w:tcPr>
          <w:p>
            <w:pPr/>
            <w:r>
              <w:t xml:space="preserve">Orders</w:t>
            </w:r>
          </w:p>
        </w:tc>
        <w:tc>
          <w:tcPr>
            <w:tcW w:w="1963" w:type="dxa"/>
            <w:shd w:val="clear" w:color="auto" w:fill="F2F2F2"/>
          </w:tcPr>
          <w:p>
            <w:pPr/>
            <w:r>
              <w:t xml:space="preserve">Avg days</w:t>
            </w:r>
          </w:p>
        </w:tc>
      </w:tr>
      <w:tr>
        <w:tc>
          <w:tcPr>
            <w:tcW w:w="3010" w:type="dxa"/>
          </w:tcPr>
          <w:p>
            <w:pPr/>
            <w:r>
              <w:t xml:space="preserve">Standard Class</w:t>
            </w:r>
          </w:p>
        </w:tc>
        <w:tc>
          <w:tcPr>
            <w:tcW w:w="2881" w:type="dxa"/>
          </w:tcPr>
          <w:p>
            <w:pPr/>
            <w:r>
              <w:t xml:space="preserve">59.3%</w:t>
            </w:r>
          </w:p>
        </w:tc>
        <w:tc>
          <w:tcPr>
            <w:tcW w:w="1505" w:type="dxa"/>
          </w:tcPr>
          <w:p>
            <w:pPr/>
            <w:r>
              <w:t xml:space="preserve">2,945</w:t>
            </w:r>
          </w:p>
        </w:tc>
        <w:tc>
          <w:tcPr>
            <w:tcW w:w="1963" w:type="dxa"/>
          </w:tcPr>
          <w:p>
            <w:pPr/>
            <w:r>
              <w:t xml:space="preserve">5.01</w:t>
            </w:r>
          </w:p>
        </w:tc>
      </w:tr>
      <w:tr>
        <w:tc>
          <w:tcPr>
            <w:tcW w:w="3010" w:type="dxa"/>
          </w:tcPr>
          <w:p>
            <w:pPr/>
            <w:r>
              <w:t xml:space="preserve">Second Class</w:t>
            </w:r>
          </w:p>
        </w:tc>
        <w:tc>
          <w:tcPr>
            <w:tcW w:w="2881" w:type="dxa"/>
          </w:tcPr>
          <w:p>
            <w:pPr/>
            <w:r>
              <w:t xml:space="preserve">19.9%</w:t>
            </w:r>
          </w:p>
        </w:tc>
        <w:tc>
          <w:tcPr>
            <w:tcW w:w="1505" w:type="dxa"/>
          </w:tcPr>
          <w:p>
            <w:pPr/>
            <w:r>
              <w:t xml:space="preserve">944</w:t>
            </w:r>
          </w:p>
        </w:tc>
        <w:tc>
          <w:tcPr>
            <w:tcW w:w="1963" w:type="dxa"/>
          </w:tcPr>
          <w:p>
            <w:pPr/>
            <w:r>
              <w:t xml:space="preserve">3.25</w:t>
            </w:r>
          </w:p>
        </w:tc>
      </w:tr>
      <w:tr>
        <w:tc>
          <w:tcPr>
            <w:tcW w:w="3010" w:type="dxa"/>
          </w:tcPr>
          <w:p>
            <w:pPr/>
            <w:r>
              <w:t xml:space="preserve">First Class</w:t>
            </w:r>
          </w:p>
        </w:tc>
        <w:tc>
          <w:tcPr>
            <w:tcW w:w="2881" w:type="dxa"/>
          </w:tcPr>
          <w:p>
            <w:pPr/>
            <w:r>
              <w:t xml:space="preserve">15.3%</w:t>
            </w:r>
          </w:p>
        </w:tc>
        <w:tc>
          <w:tcPr>
            <w:tcW w:w="1505" w:type="dxa"/>
          </w:tcPr>
          <w:p>
            <w:pPr/>
            <w:r>
              <w:t xml:space="preserve">772</w:t>
            </w:r>
          </w:p>
        </w:tc>
        <w:tc>
          <w:tcPr>
            <w:tcW w:w="1963" w:type="dxa"/>
          </w:tcPr>
          <w:p>
            <w:pPr/>
            <w:r>
              <w:t xml:space="preserve">2.18</w:t>
            </w:r>
          </w:p>
        </w:tc>
      </w:tr>
      <w:tr>
        <w:tc>
          <w:tcPr>
            <w:tcW w:w="3010" w:type="dxa"/>
          </w:tcPr>
          <w:p>
            <w:pPr/>
            <w:r>
              <w:t xml:space="preserve">Same Day</w:t>
            </w:r>
          </w:p>
        </w:tc>
        <w:tc>
          <w:tcPr>
            <w:tcW w:w="2881" w:type="dxa"/>
          </w:tcPr>
          <w:p>
            <w:pPr/>
            <w:r>
              <w:t xml:space="preserve">5.5%</w:t>
            </w:r>
          </w:p>
        </w:tc>
        <w:tc>
          <w:tcPr>
            <w:tcW w:w="1505" w:type="dxa"/>
          </w:tcPr>
          <w:p>
            <w:pPr/>
            <w:r>
              <w:t xml:space="preserve">261</w:t>
            </w:r>
          </w:p>
        </w:tc>
        <w:tc>
          <w:tcPr>
            <w:tcW w:w="1963" w:type="dxa"/>
          </w:tcPr>
          <w:p>
            <w:pPr/>
            <w:r>
              <w:t xml:space="preserve">0.04</w:t>
            </w:r>
          </w:p>
        </w:tc>
      </w:tr>
    </w:tbl>
    <w:p>
      <w:pPr/>
      <w:r>
        <w:t xml:space="preserve">Shipping speed is almost identical across regions (3.9 to 4.1 days average), so fulfilment is consistent. Most revenue ships by Standard Class, which averages five days and takes up to seven.</w:t>
      </w:r>
    </w:p>
    <w:p>
      <w:pPr>
        <w:pStyle w:val="Heading2"/>
      </w:pPr>
      <w:r>
        <w:t xml:space="preserve">6. Time-Series and Seasonality Analysis</w:t>
      </w:r>
    </w:p>
    <w:p>
      <w:pPr>
        <w:pStyle w:val="Heading3"/>
      </w:pPr>
      <w:r>
        <w:t xml:space="preserve">6.1 Yearly trend</w:t>
      </w:r>
    </w:p>
    <w:tbl>
      <w:tblPr>
        <w:tblStyle w:val="TableGrid"/>
        <w:tblW w:w="0" w:type="auto"/>
        <w:tblLayout w:type="fixed"/>
        <w:tblLook w:val="04A0" w:firstRow="1" w:lastRow="0" w:firstColumn="0" w:lastColumn="0" w:noHBand="0" w:noVBand="1"/>
      </w:tblPr>
      <w:tblGrid>
        <w:gridCol w:w="965"/>
        <w:gridCol w:w="1537"/>
        <w:gridCol w:w="1334"/>
        <w:gridCol w:w="1218"/>
        <w:gridCol w:w="1811"/>
        <w:gridCol w:w="2492"/>
      </w:tblGrid>
      <w:tr>
        <w:trPr>
          <w:tblHeader/>
        </w:trPr>
        <w:tc>
          <w:tcPr>
            <w:tcW w:w="965" w:type="dxa"/>
            <w:shd w:val="clear" w:color="auto" w:fill="F2F2F2"/>
          </w:tcPr>
          <w:p>
            <w:pPr/>
            <w:r>
              <w:t xml:space="preserve">Year</w:t>
            </w:r>
          </w:p>
        </w:tc>
        <w:tc>
          <w:tcPr>
            <w:tcW w:w="1537" w:type="dxa"/>
            <w:shd w:val="clear" w:color="auto" w:fill="F2F2F2"/>
          </w:tcPr>
          <w:p>
            <w:pPr/>
            <w:r>
              <w:t xml:space="preserve">Sales</w:t>
            </w:r>
          </w:p>
        </w:tc>
        <w:tc>
          <w:tcPr>
            <w:tcW w:w="1334" w:type="dxa"/>
            <w:shd w:val="clear" w:color="auto" w:fill="F2F2F2"/>
          </w:tcPr>
          <w:p>
            <w:pPr/>
            <w:r>
              <w:t xml:space="preserve">Growth</w:t>
            </w:r>
          </w:p>
        </w:tc>
        <w:tc>
          <w:tcPr>
            <w:tcW w:w="1218" w:type="dxa"/>
            <w:shd w:val="clear" w:color="auto" w:fill="F2F2F2"/>
          </w:tcPr>
          <w:p>
            <w:pPr/>
            <w:r>
              <w:t xml:space="preserve">Orders</w:t>
            </w:r>
          </w:p>
        </w:tc>
        <w:tc>
          <w:tcPr>
            <w:tcW w:w="1811" w:type="dxa"/>
            <w:shd w:val="clear" w:color="auto" w:fill="F2F2F2"/>
          </w:tcPr>
          <w:p>
            <w:pPr/>
            <w:r>
              <w:t xml:space="preserve">Customers</w:t>
            </w:r>
          </w:p>
        </w:tc>
        <w:tc>
          <w:tcPr>
            <w:tcW w:w="2492" w:type="dxa"/>
            <w:shd w:val="clear" w:color="auto" w:fill="F2F2F2"/>
          </w:tcPr>
          <w:p>
            <w:pPr/>
            <w:r>
              <w:t xml:space="preserve">Avg order value</w:t>
            </w:r>
          </w:p>
        </w:tc>
      </w:tr>
      <w:tr>
        <w:tc>
          <w:tcPr>
            <w:tcW w:w="965" w:type="dxa"/>
          </w:tcPr>
          <w:p>
            <w:pPr/>
            <w:r>
              <w:t xml:space="preserve">2015</w:t>
            </w:r>
          </w:p>
        </w:tc>
        <w:tc>
          <w:tcPr>
            <w:tcW w:w="1537" w:type="dxa"/>
          </w:tcPr>
          <w:p>
            <w:pPr/>
            <w:r>
              <w:t xml:space="preserve">$479,856</w:t>
            </w:r>
          </w:p>
        </w:tc>
        <w:tc>
          <w:tcPr>
            <w:tcW w:w="1334" w:type="dxa"/>
          </w:tcPr>
          <w:p>
            <w:pPr/>
            <w:r>
              <w:t xml:space="preserve">n/a</w:t>
            </w:r>
          </w:p>
        </w:tc>
        <w:tc>
          <w:tcPr>
            <w:tcW w:w="1218" w:type="dxa"/>
          </w:tcPr>
          <w:p>
            <w:pPr/>
            <w:r>
              <w:t xml:space="preserve">947</w:t>
            </w:r>
          </w:p>
        </w:tc>
        <w:tc>
          <w:tcPr>
            <w:tcW w:w="1811" w:type="dxa"/>
          </w:tcPr>
          <w:p>
            <w:pPr/>
            <w:r>
              <w:t xml:space="preserve">589</w:t>
            </w:r>
          </w:p>
        </w:tc>
        <w:tc>
          <w:tcPr>
            <w:tcW w:w="2492" w:type="dxa"/>
          </w:tcPr>
          <w:p>
            <w:pPr/>
            <w:r>
              <w:t xml:space="preserve">$507</w:t>
            </w:r>
          </w:p>
        </w:tc>
      </w:tr>
      <w:tr>
        <w:tc>
          <w:tcPr>
            <w:tcW w:w="965" w:type="dxa"/>
          </w:tcPr>
          <w:p>
            <w:pPr/>
            <w:r>
              <w:t xml:space="preserve">2016</w:t>
            </w:r>
          </w:p>
        </w:tc>
        <w:tc>
          <w:tcPr>
            <w:tcW w:w="1537" w:type="dxa"/>
          </w:tcPr>
          <w:p>
            <w:pPr/>
            <w:r>
              <w:t xml:space="preserve">$459,436</w:t>
            </w:r>
          </w:p>
        </w:tc>
        <w:tc>
          <w:tcPr>
            <w:tcW w:w="1334" w:type="dxa"/>
          </w:tcPr>
          <w:p>
            <w:pPr/>
            <w:r>
              <w:t xml:space="preserve">-4.3%</w:t>
            </w:r>
          </w:p>
        </w:tc>
        <w:tc>
          <w:tcPr>
            <w:tcW w:w="1218" w:type="dxa"/>
          </w:tcPr>
          <w:p>
            <w:pPr/>
            <w:r>
              <w:t xml:space="preserve">1,019</w:t>
            </w:r>
          </w:p>
        </w:tc>
        <w:tc>
          <w:tcPr>
            <w:tcW w:w="1811" w:type="dxa"/>
          </w:tcPr>
          <w:p>
            <w:pPr/>
            <w:r>
              <w:t xml:space="preserve">567</w:t>
            </w:r>
          </w:p>
        </w:tc>
        <w:tc>
          <w:tcPr>
            <w:tcW w:w="2492" w:type="dxa"/>
          </w:tcPr>
          <w:p>
            <w:pPr/>
            <w:r>
              <w:t xml:space="preserve">$451</w:t>
            </w:r>
          </w:p>
        </w:tc>
      </w:tr>
      <w:tr>
        <w:tc>
          <w:tcPr>
            <w:tcW w:w="965" w:type="dxa"/>
          </w:tcPr>
          <w:p>
            <w:pPr/>
            <w:r>
              <w:t xml:space="preserve">2017</w:t>
            </w:r>
          </w:p>
        </w:tc>
        <w:tc>
          <w:tcPr>
            <w:tcW w:w="1537" w:type="dxa"/>
          </w:tcPr>
          <w:p>
            <w:pPr/>
            <w:r>
              <w:t xml:space="preserve">$600,193</w:t>
            </w:r>
          </w:p>
        </w:tc>
        <w:tc>
          <w:tcPr>
            <w:tcW w:w="1334" w:type="dxa"/>
          </w:tcPr>
          <w:p>
            <w:pPr/>
            <w:r>
              <w:t xml:space="preserve">+30.6%</w:t>
            </w:r>
          </w:p>
        </w:tc>
        <w:tc>
          <w:tcPr>
            <w:tcW w:w="1218" w:type="dxa"/>
          </w:tcPr>
          <w:p>
            <w:pPr/>
            <w:r>
              <w:t xml:space="preserve">1,295</w:t>
            </w:r>
          </w:p>
        </w:tc>
        <w:tc>
          <w:tcPr>
            <w:tcW w:w="1811" w:type="dxa"/>
          </w:tcPr>
          <w:p>
            <w:pPr/>
            <w:r>
              <w:t xml:space="preserve">635</w:t>
            </w:r>
          </w:p>
        </w:tc>
        <w:tc>
          <w:tcPr>
            <w:tcW w:w="2492" w:type="dxa"/>
          </w:tcPr>
          <w:p>
            <w:pPr/>
            <w:r>
              <w:t xml:space="preserve">$464</w:t>
            </w:r>
          </w:p>
        </w:tc>
      </w:tr>
      <w:tr>
        <w:tc>
          <w:tcPr>
            <w:tcW w:w="965" w:type="dxa"/>
          </w:tcPr>
          <w:p>
            <w:pPr/>
            <w:r>
              <w:t xml:space="preserve">2018</w:t>
            </w:r>
          </w:p>
        </w:tc>
        <w:tc>
          <w:tcPr>
            <w:tcW w:w="1537" w:type="dxa"/>
          </w:tcPr>
          <w:p>
            <w:pPr/>
            <w:r>
              <w:t xml:space="preserve">$722,052</w:t>
            </w:r>
          </w:p>
        </w:tc>
        <w:tc>
          <w:tcPr>
            <w:tcW w:w="1334" w:type="dxa"/>
          </w:tcPr>
          <w:p>
            <w:pPr/>
            <w:r>
              <w:t xml:space="preserve">+20.3%</w:t>
            </w:r>
          </w:p>
        </w:tc>
        <w:tc>
          <w:tcPr>
            <w:tcW w:w="1218" w:type="dxa"/>
          </w:tcPr>
          <w:p>
            <w:pPr/>
            <w:r>
              <w:t xml:space="preserve">1,661</w:t>
            </w:r>
          </w:p>
        </w:tc>
        <w:tc>
          <w:tcPr>
            <w:tcW w:w="1811" w:type="dxa"/>
          </w:tcPr>
          <w:p>
            <w:pPr/>
            <w:r>
              <w:t xml:space="preserve">690</w:t>
            </w:r>
          </w:p>
        </w:tc>
        <w:tc>
          <w:tcPr>
            <w:tcW w:w="2492" w:type="dxa"/>
          </w:tcPr>
          <w:p>
            <w:pPr/>
            <w:r>
              <w:t xml:space="preserve">$435</w:t>
            </w:r>
          </w:p>
        </w:tc>
      </w:tr>
    </w:tbl>
    <w:p>
      <w:pPr/>
      <w:r>
        <w:t xml:space="preserve">Growth since 2016 has come mainly from more orders and more orders per customer, not from larger baskets. Average order value dropped in every year except 2017, so the business is winning volume at a lower value per order.</w:t>
      </w:r>
    </w:p>
    <w:p>
      <w:pPr>
        <w:pStyle w:val="Heading3"/>
      </w:pPr>
      <w:r>
        <w:t xml:space="preserve">6.2 Who drove the growth (2015 to 2018)</w:t>
      </w:r>
    </w:p>
    <w:tbl>
      <w:tblPr>
        <w:tblStyle w:val="TableGrid"/>
        <w:tblW w:w="0" w:type="auto"/>
        <w:tblLayout w:type="fixed"/>
        <w:tblLook w:val="04A0" w:firstRow="1" w:lastRow="0" w:firstColumn="0" w:lastColumn="0" w:noHBand="0" w:noVBand="1"/>
      </w:tblPr>
      <w:tblGrid>
        <w:gridCol w:w="1997"/>
        <w:gridCol w:w="2746"/>
        <w:gridCol w:w="1577"/>
        <w:gridCol w:w="1577"/>
        <w:gridCol w:w="1460"/>
      </w:tblGrid>
      <w:tr>
        <w:trPr>
          <w:tblHeader/>
        </w:trPr>
        <w:tc>
          <w:tcPr>
            <w:tcW w:w="1997" w:type="dxa"/>
            <w:shd w:val="clear" w:color="auto" w:fill="F2F2F2"/>
          </w:tcPr>
          <w:p>
            <w:pPr/>
            <w:r>
              <w:t xml:space="preserve">Dimension</w:t>
            </w:r>
          </w:p>
        </w:tc>
        <w:tc>
          <w:tcPr>
            <w:tcW w:w="2746" w:type="dxa"/>
            <w:shd w:val="clear" w:color="auto" w:fill="F2F2F2"/>
          </w:tcPr>
          <w:p>
            <w:pPr/>
            <w:r>
              <w:t xml:space="preserve">Group</w:t>
            </w:r>
          </w:p>
        </w:tc>
        <w:tc>
          <w:tcPr>
            <w:tcW w:w="1577" w:type="dxa"/>
            <w:shd w:val="clear" w:color="auto" w:fill="F2F2F2"/>
          </w:tcPr>
          <w:p>
            <w:pPr/>
            <w:r>
              <w:t xml:space="preserve">2015</w:t>
            </w:r>
          </w:p>
        </w:tc>
        <w:tc>
          <w:tcPr>
            <w:tcW w:w="1577" w:type="dxa"/>
            <w:shd w:val="clear" w:color="auto" w:fill="F2F2F2"/>
          </w:tcPr>
          <w:p>
            <w:pPr/>
            <w:r>
              <w:t xml:space="preserve">2018</w:t>
            </w:r>
          </w:p>
        </w:tc>
        <w:tc>
          <w:tcPr>
            <w:tcW w:w="1460" w:type="dxa"/>
            <w:shd w:val="clear" w:color="auto" w:fill="F2F2F2"/>
          </w:tcPr>
          <w:p>
            <w:pPr/>
            <w:r>
              <w:t xml:space="preserve">Change</w:t>
            </w:r>
          </w:p>
        </w:tc>
      </w:tr>
      <w:tr>
        <w:tc>
          <w:tcPr>
            <w:tcW w:w="1997" w:type="dxa"/>
          </w:tcPr>
          <w:p>
            <w:pPr/>
            <w:r>
              <w:t xml:space="preserve">Region</w:t>
            </w:r>
          </w:p>
        </w:tc>
        <w:tc>
          <w:tcPr>
            <w:tcW w:w="2746" w:type="dxa"/>
          </w:tcPr>
          <w:p>
            <w:pPr/>
            <w:r>
              <w:t xml:space="preserve">West</w:t>
            </w:r>
          </w:p>
        </w:tc>
        <w:tc>
          <w:tcPr>
            <w:tcW w:w="1577" w:type="dxa"/>
          </w:tcPr>
          <w:p>
            <w:pPr/>
            <w:r>
              <w:t xml:space="preserve">$145.9K</w:t>
            </w:r>
          </w:p>
        </w:tc>
        <w:tc>
          <w:tcPr>
            <w:tcW w:w="1577" w:type="dxa"/>
          </w:tcPr>
          <w:p>
            <w:pPr/>
            <w:r>
              <w:t xml:space="preserve">$248.1K</w:t>
            </w:r>
          </w:p>
        </w:tc>
        <w:tc>
          <w:tcPr>
            <w:tcW w:w="1460" w:type="dxa"/>
          </w:tcPr>
          <w:p>
            <w:pPr/>
            <w:r>
              <w:t xml:space="preserve">+70%</w:t>
            </w:r>
          </w:p>
        </w:tc>
      </w:tr>
      <w:tr>
        <w:tc>
          <w:tcPr>
            <w:tcW w:w="1997" w:type="dxa"/>
          </w:tcPr>
          <w:p>
            <w:pPr/>
            <w:r>
              <w:t xml:space="preserve">Region</w:t>
            </w:r>
          </w:p>
        </w:tc>
        <w:tc>
          <w:tcPr>
            <w:tcW w:w="2746" w:type="dxa"/>
          </w:tcPr>
          <w:p>
            <w:pPr/>
            <w:r>
              <w:t xml:space="preserve">East</w:t>
            </w:r>
          </w:p>
        </w:tc>
        <w:tc>
          <w:tcPr>
            <w:tcW w:w="1577" w:type="dxa"/>
          </w:tcPr>
          <w:p>
            <w:pPr/>
            <w:r>
              <w:t xml:space="preserve">$127.7K</w:t>
            </w:r>
          </w:p>
        </w:tc>
        <w:tc>
          <w:tcPr>
            <w:tcW w:w="1577" w:type="dxa"/>
          </w:tcPr>
          <w:p>
            <w:pPr/>
            <w:r>
              <w:t xml:space="preserve">$210.1K</w:t>
            </w:r>
          </w:p>
        </w:tc>
        <w:tc>
          <w:tcPr>
            <w:tcW w:w="1460" w:type="dxa"/>
          </w:tcPr>
          <w:p>
            <w:pPr/>
            <w:r>
              <w:t xml:space="preserve">+65%</w:t>
            </w:r>
          </w:p>
        </w:tc>
      </w:tr>
      <w:tr>
        <w:tc>
          <w:tcPr>
            <w:tcW w:w="1997" w:type="dxa"/>
          </w:tcPr>
          <w:p>
            <w:pPr/>
            <w:r>
              <w:t xml:space="preserve">Region</w:t>
            </w:r>
          </w:p>
        </w:tc>
        <w:tc>
          <w:tcPr>
            <w:tcW w:w="2746" w:type="dxa"/>
          </w:tcPr>
          <w:p>
            <w:pPr/>
            <w:r>
              <w:t xml:space="preserve">Central</w:t>
            </w:r>
          </w:p>
        </w:tc>
        <w:tc>
          <w:tcPr>
            <w:tcW w:w="1577" w:type="dxa"/>
          </w:tcPr>
          <w:p>
            <w:pPr/>
            <w:r>
              <w:t xml:space="preserve">$102.9K</w:t>
            </w:r>
          </w:p>
        </w:tc>
        <w:tc>
          <w:tcPr>
            <w:tcW w:w="1577" w:type="dxa"/>
          </w:tcPr>
          <w:p>
            <w:pPr/>
            <w:r>
              <w:t xml:space="preserve">$141.6K</w:t>
            </w:r>
          </w:p>
        </w:tc>
        <w:tc>
          <w:tcPr>
            <w:tcW w:w="1460" w:type="dxa"/>
          </w:tcPr>
          <w:p>
            <w:pPr/>
            <w:r>
              <w:t xml:space="preserve">+38%</w:t>
            </w:r>
          </w:p>
        </w:tc>
      </w:tr>
      <w:tr>
        <w:tc>
          <w:tcPr>
            <w:tcW w:w="1997" w:type="dxa"/>
          </w:tcPr>
          <w:p>
            <w:pPr/>
            <w:r>
              <w:t xml:space="preserve">Region</w:t>
            </w:r>
          </w:p>
        </w:tc>
        <w:tc>
          <w:tcPr>
            <w:tcW w:w="2746" w:type="dxa"/>
          </w:tcPr>
          <w:p>
            <w:pPr/>
            <w:r>
              <w:t xml:space="preserve">South</w:t>
            </w:r>
          </w:p>
        </w:tc>
        <w:tc>
          <w:tcPr>
            <w:tcW w:w="1577" w:type="dxa"/>
          </w:tcPr>
          <w:p>
            <w:pPr/>
            <w:r>
              <w:t xml:space="preserve">$103.4K</w:t>
            </w:r>
          </w:p>
        </w:tc>
        <w:tc>
          <w:tcPr>
            <w:tcW w:w="1577" w:type="dxa"/>
          </w:tcPr>
          <w:p>
            <w:pPr/>
            <w:r>
              <w:t xml:space="preserve">$122.2K</w:t>
            </w:r>
          </w:p>
        </w:tc>
        <w:tc>
          <w:tcPr>
            <w:tcW w:w="1460" w:type="dxa"/>
          </w:tcPr>
          <w:p>
            <w:pPr/>
            <w:r>
              <w:t xml:space="preserve">+18%</w:t>
            </w:r>
          </w:p>
        </w:tc>
      </w:tr>
      <w:tr>
        <w:tc>
          <w:tcPr>
            <w:tcW w:w="1997" w:type="dxa"/>
          </w:tcPr>
          <w:p>
            <w:pPr/>
            <w:r>
              <w:t xml:space="preserve">Category</w:t>
            </w:r>
          </w:p>
        </w:tc>
        <w:tc>
          <w:tcPr>
            <w:tcW w:w="2746" w:type="dxa"/>
          </w:tcPr>
          <w:p>
            <w:pPr/>
            <w:r>
              <w:t xml:space="preserve">Office Supplies</w:t>
            </w:r>
          </w:p>
        </w:tc>
        <w:tc>
          <w:tcPr>
            <w:tcW w:w="1577" w:type="dxa"/>
          </w:tcPr>
          <w:p>
            <w:pPr/>
            <w:r>
              <w:t xml:space="preserve">$149.5K</w:t>
            </w:r>
          </w:p>
        </w:tc>
        <w:tc>
          <w:tcPr>
            <w:tcW w:w="1577" w:type="dxa"/>
          </w:tcPr>
          <w:p>
            <w:pPr/>
            <w:r>
              <w:t xml:space="preserve">$240.4K</w:t>
            </w:r>
          </w:p>
        </w:tc>
        <w:tc>
          <w:tcPr>
            <w:tcW w:w="1460" w:type="dxa"/>
          </w:tcPr>
          <w:p>
            <w:pPr/>
            <w:r>
              <w:t xml:space="preserve">+61%</w:t>
            </w:r>
          </w:p>
        </w:tc>
      </w:tr>
      <w:tr>
        <w:tc>
          <w:tcPr>
            <w:tcW w:w="1997" w:type="dxa"/>
          </w:tcPr>
          <w:p>
            <w:pPr/>
            <w:r>
              <w:t xml:space="preserve">Category</w:t>
            </w:r>
          </w:p>
        </w:tc>
        <w:tc>
          <w:tcPr>
            <w:tcW w:w="2746" w:type="dxa"/>
          </w:tcPr>
          <w:p>
            <w:pPr/>
            <w:r>
              <w:t xml:space="preserve">Technology</w:t>
            </w:r>
          </w:p>
        </w:tc>
        <w:tc>
          <w:tcPr>
            <w:tcW w:w="1577" w:type="dxa"/>
          </w:tcPr>
          <w:p>
            <w:pPr/>
            <w:r>
              <w:t xml:space="preserve">$173.9K</w:t>
            </w:r>
          </w:p>
        </w:tc>
        <w:tc>
          <w:tcPr>
            <w:tcW w:w="1577" w:type="dxa"/>
          </w:tcPr>
          <w:p>
            <w:pPr/>
            <w:r>
              <w:t xml:space="preserve">$269.4K</w:t>
            </w:r>
          </w:p>
        </w:tc>
        <w:tc>
          <w:tcPr>
            <w:tcW w:w="1460" w:type="dxa"/>
          </w:tcPr>
          <w:p>
            <w:pPr/>
            <w:r>
              <w:t xml:space="preserve">+55%</w:t>
            </w:r>
          </w:p>
        </w:tc>
      </w:tr>
      <w:tr>
        <w:tc>
          <w:tcPr>
            <w:tcW w:w="1997" w:type="dxa"/>
          </w:tcPr>
          <w:p>
            <w:pPr/>
            <w:r>
              <w:t xml:space="preserve">Category</w:t>
            </w:r>
          </w:p>
        </w:tc>
        <w:tc>
          <w:tcPr>
            <w:tcW w:w="2746" w:type="dxa"/>
          </w:tcPr>
          <w:p>
            <w:pPr/>
            <w:r>
              <w:t xml:space="preserve">Furniture</w:t>
            </w:r>
          </w:p>
        </w:tc>
        <w:tc>
          <w:tcPr>
            <w:tcW w:w="1577" w:type="dxa"/>
          </w:tcPr>
          <w:p>
            <w:pPr/>
            <w:r>
              <w:t xml:space="preserve">$156.5K</w:t>
            </w:r>
          </w:p>
        </w:tc>
        <w:tc>
          <w:tcPr>
            <w:tcW w:w="1577" w:type="dxa"/>
          </w:tcPr>
          <w:p>
            <w:pPr/>
            <w:r>
              <w:t xml:space="preserve">$212.3K</w:t>
            </w:r>
          </w:p>
        </w:tc>
        <w:tc>
          <w:tcPr>
            <w:tcW w:w="1460" w:type="dxa"/>
          </w:tcPr>
          <w:p>
            <w:pPr/>
            <w:r>
              <w:t xml:space="preserve">+36%</w:t>
            </w:r>
          </w:p>
        </w:tc>
      </w:tr>
      <w:tr>
        <w:tc>
          <w:tcPr>
            <w:tcW w:w="1997" w:type="dxa"/>
          </w:tcPr>
          <w:p>
            <w:pPr/>
            <w:r>
              <w:t xml:space="preserve">Segment</w:t>
            </w:r>
          </w:p>
        </w:tc>
        <w:tc>
          <w:tcPr>
            <w:tcW w:w="2746" w:type="dxa"/>
          </w:tcPr>
          <w:p>
            <w:pPr/>
            <w:r>
              <w:t xml:space="preserve">Corporate</w:t>
            </w:r>
          </w:p>
        </w:tc>
        <w:tc>
          <w:tcPr>
            <w:tcW w:w="1577" w:type="dxa"/>
          </w:tcPr>
          <w:p>
            <w:pPr/>
            <w:r>
              <w:t xml:space="preserve">$127.8K</w:t>
            </w:r>
          </w:p>
        </w:tc>
        <w:tc>
          <w:tcPr>
            <w:tcW w:w="1577" w:type="dxa"/>
          </w:tcPr>
          <w:p>
            <w:pPr/>
            <w:r>
              <w:t xml:space="preserve">$236.0K</w:t>
            </w:r>
          </w:p>
        </w:tc>
        <w:tc>
          <w:tcPr>
            <w:tcW w:w="1460" w:type="dxa"/>
          </w:tcPr>
          <w:p>
            <w:pPr/>
            <w:r>
              <w:t xml:space="preserve">+85%</w:t>
            </w:r>
          </w:p>
        </w:tc>
      </w:tr>
      <w:tr>
        <w:tc>
          <w:tcPr>
            <w:tcW w:w="1997" w:type="dxa"/>
          </w:tcPr>
          <w:p>
            <w:pPr/>
            <w:r>
              <w:t xml:space="preserve">Segment</w:t>
            </w:r>
          </w:p>
        </w:tc>
        <w:tc>
          <w:tcPr>
            <w:tcW w:w="2746" w:type="dxa"/>
          </w:tcPr>
          <w:p>
            <w:pPr/>
            <w:r>
              <w:t xml:space="preserve">Home Office</w:t>
            </w:r>
          </w:p>
        </w:tc>
        <w:tc>
          <w:tcPr>
            <w:tcW w:w="1577" w:type="dxa"/>
          </w:tcPr>
          <w:p>
            <w:pPr/>
            <w:r>
              <w:t xml:space="preserve">$89.1K</w:t>
            </w:r>
          </w:p>
        </w:tc>
        <w:tc>
          <w:tcPr>
            <w:tcW w:w="1577" w:type="dxa"/>
          </w:tcPr>
          <w:p>
            <w:pPr/>
            <w:r>
              <w:t xml:space="preserve">$157.4K</w:t>
            </w:r>
          </w:p>
        </w:tc>
        <w:tc>
          <w:tcPr>
            <w:tcW w:w="1460" w:type="dxa"/>
          </w:tcPr>
          <w:p>
            <w:pPr/>
            <w:r>
              <w:t xml:space="preserve">+77%</w:t>
            </w:r>
          </w:p>
        </w:tc>
      </w:tr>
      <w:tr>
        <w:tc>
          <w:tcPr>
            <w:tcW w:w="1997" w:type="dxa"/>
          </w:tcPr>
          <w:p>
            <w:pPr/>
            <w:r>
              <w:t xml:space="preserve">Segment</w:t>
            </w:r>
          </w:p>
        </w:tc>
        <w:tc>
          <w:tcPr>
            <w:tcW w:w="2746" w:type="dxa"/>
          </w:tcPr>
          <w:p>
            <w:pPr/>
            <w:r>
              <w:t xml:space="preserve">Consumer</w:t>
            </w:r>
          </w:p>
        </w:tc>
        <w:tc>
          <w:tcPr>
            <w:tcW w:w="1577" w:type="dxa"/>
          </w:tcPr>
          <w:p>
            <w:pPr/>
            <w:r>
              <w:t xml:space="preserve">$263.0K</w:t>
            </w:r>
          </w:p>
        </w:tc>
        <w:tc>
          <w:tcPr>
            <w:tcW w:w="1577" w:type="dxa"/>
          </w:tcPr>
          <w:p>
            <w:pPr/>
            <w:r>
              <w:t xml:space="preserve">$328.6K</w:t>
            </w:r>
          </w:p>
        </w:tc>
        <w:tc>
          <w:tcPr>
            <w:tcW w:w="1460" w:type="dxa"/>
          </w:tcPr>
          <w:p>
            <w:pPr/>
            <w:r>
              <w:t xml:space="preserve">+25%</w:t>
            </w:r>
          </w:p>
        </w:tc>
      </w:tr>
    </w:tbl>
    <w:p>
      <w:pPr/>
      <w:r>
        <w:t xml:space="preserve">Three shifts stand out. West and East are pulling away while South has barely grown (and fell 32% in 2016). Office Supplies overtook Furniture in 2018. Corporate and Home Office are growing far faster than Consumer, so Consumer's share of sales fell from 54.8% to 45.5%.</w:t>
      </w:r>
    </w:p>
    <w:p>
      <w:pPr>
        <w:pStyle w:val="Heading3"/>
      </w:pPr>
      <w:r>
        <w:t xml:space="preserve">6.3 Seasonality</w:t>
      </w:r>
    </w:p>
    <w:tbl>
      <w:tblPr>
        <w:tblStyle w:val="TableGrid"/>
        <w:tblW w:w="0" w:type="auto"/>
        <w:tblLayout w:type="fixed"/>
        <w:tblLook w:val="04A0" w:firstRow="1" w:lastRow="0" w:firstColumn="0" w:lastColumn="0" w:noHBand="0" w:noVBand="1"/>
      </w:tblPr>
      <w:tblGrid>
        <w:gridCol w:w="3070"/>
        <w:gridCol w:w="3564"/>
        <w:gridCol w:w="2725"/>
      </w:tblGrid>
      <w:tr>
        <w:trPr>
          <w:tblHeader/>
        </w:trPr>
        <w:tc>
          <w:tcPr>
            <w:tcW w:w="3070" w:type="dxa"/>
            <w:shd w:val="clear" w:color="auto" w:fill="F2F2F2"/>
          </w:tcPr>
          <w:p>
            <w:pPr/>
            <w:r>
              <w:t xml:space="preserve">Quarter</w:t>
            </w:r>
          </w:p>
        </w:tc>
        <w:tc>
          <w:tcPr>
            <w:tcW w:w="3564" w:type="dxa"/>
            <w:shd w:val="clear" w:color="auto" w:fill="F2F2F2"/>
          </w:tcPr>
          <w:p>
            <w:pPr/>
            <w:r>
              <w:t xml:space="preserve">Sales</w:t>
            </w:r>
          </w:p>
        </w:tc>
        <w:tc>
          <w:tcPr>
            <w:tcW w:w="2725" w:type="dxa"/>
            <w:shd w:val="clear" w:color="auto" w:fill="F2F2F2"/>
          </w:tcPr>
          <w:p>
            <w:pPr/>
            <w:r>
              <w:t xml:space="preserve">Share</w:t>
            </w:r>
          </w:p>
        </w:tc>
      </w:tr>
      <w:tr>
        <w:tc>
          <w:tcPr>
            <w:tcW w:w="3070" w:type="dxa"/>
          </w:tcPr>
          <w:p>
            <w:pPr/>
            <w:r>
              <w:t xml:space="preserve">Q1</w:t>
            </w:r>
          </w:p>
        </w:tc>
        <w:tc>
          <w:tcPr>
            <w:tcW w:w="3564" w:type="dxa"/>
          </w:tcPr>
          <w:p>
            <w:pPr/>
            <w:r>
              <w:t xml:space="preserve">$351,236</w:t>
            </w:r>
          </w:p>
        </w:tc>
        <w:tc>
          <w:tcPr>
            <w:tcW w:w="2725" w:type="dxa"/>
          </w:tcPr>
          <w:p>
            <w:pPr/>
            <w:r>
              <w:t xml:space="preserve">15.5%</w:t>
            </w:r>
          </w:p>
        </w:tc>
      </w:tr>
      <w:tr>
        <w:tc>
          <w:tcPr>
            <w:tcW w:w="3070" w:type="dxa"/>
          </w:tcPr>
          <w:p>
            <w:pPr/>
            <w:r>
              <w:t xml:space="preserve">Q2</w:t>
            </w:r>
          </w:p>
        </w:tc>
        <w:tc>
          <w:tcPr>
            <w:tcW w:w="3564" w:type="dxa"/>
          </w:tcPr>
          <w:p>
            <w:pPr/>
            <w:r>
              <w:t xml:space="preserve">$436,207</w:t>
            </w:r>
          </w:p>
        </w:tc>
        <w:tc>
          <w:tcPr>
            <w:tcW w:w="2725" w:type="dxa"/>
          </w:tcPr>
          <w:p>
            <w:pPr/>
            <w:r>
              <w:t xml:space="preserve">19.3%</w:t>
            </w:r>
          </w:p>
        </w:tc>
      </w:tr>
      <w:tr>
        <w:tc>
          <w:tcPr>
            <w:tcW w:w="3070" w:type="dxa"/>
          </w:tcPr>
          <w:p>
            <w:pPr/>
            <w:r>
              <w:t xml:space="preserve">Q3</w:t>
            </w:r>
          </w:p>
        </w:tc>
        <w:tc>
          <w:tcPr>
            <w:tcW w:w="3564" w:type="dxa"/>
          </w:tcPr>
          <w:p>
            <w:pPr/>
            <w:r>
              <w:t xml:space="preserve">$602,955</w:t>
            </w:r>
          </w:p>
        </w:tc>
        <w:tc>
          <w:tcPr>
            <w:tcW w:w="2725" w:type="dxa"/>
          </w:tcPr>
          <w:p>
            <w:pPr/>
            <w:r>
              <w:t xml:space="preserve">26.7%</w:t>
            </w:r>
          </w:p>
        </w:tc>
      </w:tr>
      <w:tr>
        <w:tc>
          <w:tcPr>
            <w:tcW w:w="3070" w:type="dxa"/>
          </w:tcPr>
          <w:p>
            <w:pPr/>
            <w:r>
              <w:t xml:space="preserve">Q4</w:t>
            </w:r>
          </w:p>
        </w:tc>
        <w:tc>
          <w:tcPr>
            <w:tcW w:w="3564" w:type="dxa"/>
          </w:tcPr>
          <w:p>
            <w:pPr/>
            <w:r>
              <w:t xml:space="preserve">$871,138</w:t>
            </w:r>
          </w:p>
        </w:tc>
        <w:tc>
          <w:tcPr>
            <w:tcW w:w="2725" w:type="dxa"/>
          </w:tcPr>
          <w:p>
            <w:pPr/>
            <w:r>
              <w:t xml:space="preserve">38.5%</w:t>
            </w:r>
          </w:p>
        </w:tc>
      </w:tr>
    </w:tbl>
    <w:p>
      <w:pPr/>
      <w:r>
        <w:t xml:space="preserve">The strongest months across all four years are November ($350K), December ($321K) and September ($300K), with a smaller March peak ($198K). The weakest are February ($59K) and January ($94K). The September jump (about double August) recurs in every year, which points to a recurring back-to-business or budget-cycle effect rather than a one-off.</w:t>
      </w:r>
    </w:p>
    <w:p>
      <w:pPr>
        <w:pStyle w:val="Heading2"/>
      </w:pPr>
      <w:r>
        <w:t xml:space="preserve">7. Product and Customer Analysis</w:t>
      </w:r>
    </w:p>
    <w:p>
      <w:pPr>
        <w:pStyle w:val="Heading3"/>
      </w:pPr>
      <w:r>
        <w:t xml:space="preserve">7.1 Top products</w:t>
      </w:r>
    </w:p>
    <w:p>
      <w:pPr/>
      <w:r>
        <w:t xml:space="preserve">The top ten products account for only 10.8% of sales, so revenue is not dependent on a few items. The leader is the Canon imageCLASS 2200 Advanced Copier ($61.6K, 2.7% of all sales), followed by the Fellowes PB500 binding machine ($27.5K), Cisco TelePresence System EX90 ($22.6K), HON 5400 Series Task Chairs ($21.9K) and GBC DocuBind TL300 ($19.8K). Copiers, binding machines and large-format equipment dominate the top ten.</w:t>
      </w:r>
    </w:p>
    <w:p>
      <w:pPr>
        <w:pStyle w:val="Heading3"/>
      </w:pPr>
      <w:r>
        <w:t xml:space="preserve">7.2 Customer concentration</w:t>
      </w:r>
    </w:p>
    <w:tbl>
      <w:tblPr>
        <w:tblStyle w:val="TableGrid"/>
        <w:tblW w:w="0" w:type="auto"/>
        <w:tblLayout w:type="fixed"/>
        <w:tblLook w:val="04A0" w:firstRow="1" w:lastRow="0" w:firstColumn="0" w:lastColumn="0" w:noHBand="0" w:noVBand="1"/>
      </w:tblPr>
      <w:tblGrid>
        <w:gridCol w:w="5821"/>
        <w:gridCol w:w="3538"/>
      </w:tblGrid>
      <w:tr>
        <w:trPr>
          <w:tblHeader/>
        </w:trPr>
        <w:tc>
          <w:tcPr>
            <w:tcW w:w="5821" w:type="dxa"/>
            <w:shd w:val="clear" w:color="auto" w:fill="F2F2F2"/>
          </w:tcPr>
          <w:p>
            <w:pPr/>
            <w:r>
              <w:t xml:space="preserve">Measure</w:t>
            </w:r>
          </w:p>
        </w:tc>
        <w:tc>
          <w:tcPr>
            <w:tcW w:w="3538" w:type="dxa"/>
            <w:shd w:val="clear" w:color="auto" w:fill="F2F2F2"/>
          </w:tcPr>
          <w:p>
            <w:pPr/>
            <w:r>
              <w:t xml:space="preserve">Value</w:t>
            </w:r>
          </w:p>
        </w:tc>
      </w:tr>
      <w:tr>
        <w:tc>
          <w:tcPr>
            <w:tcW w:w="5821" w:type="dxa"/>
          </w:tcPr>
          <w:p>
            <w:pPr/>
            <w:r>
              <w:t xml:space="preserve">Average sales per customer</w:t>
            </w:r>
          </w:p>
        </w:tc>
        <w:tc>
          <w:tcPr>
            <w:tcW w:w="3538" w:type="dxa"/>
          </w:tcPr>
          <w:p>
            <w:pPr/>
            <w:r>
              <w:t xml:space="preserve">$2,852 (median $2,215)</w:t>
            </w:r>
          </w:p>
        </w:tc>
      </w:tr>
      <w:tr>
        <w:tc>
          <w:tcPr>
            <w:tcW w:w="5821" w:type="dxa"/>
          </w:tcPr>
          <w:p>
            <w:pPr/>
            <w:r>
              <w:t xml:space="preserve">Customers who ordered more than once</w:t>
            </w:r>
          </w:p>
        </w:tc>
        <w:tc>
          <w:tcPr>
            <w:tcW w:w="3538" w:type="dxa"/>
          </w:tcPr>
          <w:p>
            <w:pPr/>
            <w:r>
              <w:t xml:space="preserve">98.4%</w:t>
            </w:r>
          </w:p>
        </w:tc>
      </w:tr>
      <w:tr>
        <w:tc>
          <w:tcPr>
            <w:tcW w:w="5821" w:type="dxa"/>
          </w:tcPr>
          <w:p>
            <w:pPr/>
            <w:r>
              <w:t xml:space="preserve">Average orders per customer</w:t>
            </w:r>
          </w:p>
        </w:tc>
        <w:tc>
          <w:tcPr>
            <w:tcW w:w="3538" w:type="dxa"/>
          </w:tcPr>
          <w:p>
            <w:pPr/>
            <w:r>
              <w:t xml:space="preserve">6.2</w:t>
            </w:r>
          </w:p>
        </w:tc>
      </w:tr>
      <w:tr>
        <w:tc>
          <w:tcPr>
            <w:tcW w:w="5821" w:type="dxa"/>
          </w:tcPr>
          <w:p>
            <w:pPr/>
            <w:r>
              <w:t xml:space="preserve">Top 10% of customers (79)</w:t>
            </w:r>
          </w:p>
        </w:tc>
        <w:tc>
          <w:tcPr>
            <w:tcW w:w="3538" w:type="dxa"/>
          </w:tcPr>
          <w:p>
            <w:pPr/>
            <w:r>
              <w:t xml:space="preserve">30.9% of sales</w:t>
            </w:r>
          </w:p>
        </w:tc>
      </w:tr>
      <w:tr>
        <w:tc>
          <w:tcPr>
            <w:tcW w:w="5821" w:type="dxa"/>
          </w:tcPr>
          <w:p>
            <w:pPr/>
            <w:r>
              <w:t xml:space="preserve">Top 20% of customers</w:t>
            </w:r>
          </w:p>
        </w:tc>
        <w:tc>
          <w:tcPr>
            <w:tcW w:w="3538" w:type="dxa"/>
          </w:tcPr>
          <w:p>
            <w:pPr/>
            <w:r>
              <w:t xml:space="preserve">48.3% of sales</w:t>
            </w:r>
          </w:p>
        </w:tc>
      </w:tr>
    </w:tbl>
    <w:p>
      <w:pPr/>
      <w:r>
        <w:t xml:space="preserve">Top customers are Sean Miller ($25.0K), Tamara Chand ($19.1K), Raymond Buch ($15.1K), Tom Ashbrook ($14.6K) and Adrian Barton ($14.5K). Some high spenders buy rarely and in large lots (Sean Miller: 5 orders), while others are frequent buyers (Ken Lonsdale: 12 orders).</w:t>
      </w:r>
    </w:p>
    <w:p>
      <w:pPr>
        <w:pStyle w:val="Heading3"/>
      </w:pPr>
      <w:r>
        <w:t xml:space="preserve">7.3 Customer value tiers</w:t>
      </w:r>
    </w:p>
    <w:p>
      <w:pPr/>
      <w:r>
        <w:t xml:space="preserve">Using the project's own thresholds (Low under $1K, Medium $1K to $5K, High $5K to $10K, VIP above $10K):</w:t>
      </w:r>
    </w:p>
    <w:tbl>
      <w:tblPr>
        <w:tblStyle w:val="TableGrid"/>
        <w:tblW w:w="0" w:type="auto"/>
        <w:tblLayout w:type="fixed"/>
        <w:tblLook w:val="04A0" w:firstRow="1" w:lastRow="0" w:firstColumn="0" w:lastColumn="0" w:noHBand="0" w:noVBand="1"/>
      </w:tblPr>
      <w:tblGrid>
        <w:gridCol w:w="2733"/>
        <w:gridCol w:w="2153"/>
        <w:gridCol w:w="2331"/>
        <w:gridCol w:w="2141"/>
      </w:tblGrid>
      <w:tr>
        <w:trPr>
          <w:tblHeader/>
        </w:trPr>
        <w:tc>
          <w:tcPr>
            <w:tcW w:w="2733" w:type="dxa"/>
            <w:shd w:val="clear" w:color="auto" w:fill="F2F2F2"/>
          </w:tcPr>
          <w:p>
            <w:pPr/>
            <w:r>
              <w:t xml:space="preserve">Tier</w:t>
            </w:r>
          </w:p>
        </w:tc>
        <w:tc>
          <w:tcPr>
            <w:tcW w:w="2153" w:type="dxa"/>
            <w:shd w:val="clear" w:color="auto" w:fill="F2F2F2"/>
          </w:tcPr>
          <w:p>
            <w:pPr/>
            <w:r>
              <w:t xml:space="preserve">Customers</w:t>
            </w:r>
          </w:p>
        </w:tc>
        <w:tc>
          <w:tcPr>
            <w:tcW w:w="2331" w:type="dxa"/>
            <w:shd w:val="clear" w:color="auto" w:fill="F2F2F2"/>
          </w:tcPr>
          <w:p>
            <w:pPr/>
            <w:r>
              <w:t xml:space="preserve">Sales share</w:t>
            </w:r>
          </w:p>
        </w:tc>
        <w:tc>
          <w:tcPr>
            <w:tcW w:w="2141" w:type="dxa"/>
            <w:shd w:val="clear" w:color="auto" w:fill="F2F2F2"/>
          </w:tcPr>
          <w:p>
            <w:pPr/>
            <w:r>
              <w:t xml:space="preserve">Avg orders</w:t>
            </w:r>
          </w:p>
        </w:tc>
      </w:tr>
      <w:tr>
        <w:tc>
          <w:tcPr>
            <w:tcW w:w="2733" w:type="dxa"/>
          </w:tcPr>
          <w:p>
            <w:pPr/>
            <w:r>
              <w:t xml:space="preserve">Low value</w:t>
            </w:r>
          </w:p>
        </w:tc>
        <w:tc>
          <w:tcPr>
            <w:tcW w:w="2153" w:type="dxa"/>
          </w:tcPr>
          <w:p>
            <w:pPr/>
            <w:r>
              <w:t xml:space="preserve">178</w:t>
            </w:r>
          </w:p>
        </w:tc>
        <w:tc>
          <w:tcPr>
            <w:tcW w:w="2331" w:type="dxa"/>
          </w:tcPr>
          <w:p>
            <w:pPr/>
            <w:r>
              <w:t xml:space="preserve">4.4%</w:t>
            </w:r>
          </w:p>
        </w:tc>
        <w:tc>
          <w:tcPr>
            <w:tcW w:w="2141" w:type="dxa"/>
          </w:tcPr>
          <w:p>
            <w:pPr/>
            <w:r>
              <w:t xml:space="preserve">4.1</w:t>
            </w:r>
          </w:p>
        </w:tc>
      </w:tr>
      <w:tr>
        <w:tc>
          <w:tcPr>
            <w:tcW w:w="2733" w:type="dxa"/>
          </w:tcPr>
          <w:p>
            <w:pPr/>
            <w:r>
              <w:t xml:space="preserve">Medium value</w:t>
            </w:r>
          </w:p>
        </w:tc>
        <w:tc>
          <w:tcPr>
            <w:tcW w:w="2153" w:type="dxa"/>
          </w:tcPr>
          <w:p>
            <w:pPr/>
            <w:r>
              <w:t xml:space="preserve">501</w:t>
            </w:r>
          </w:p>
        </w:tc>
        <w:tc>
          <w:tcPr>
            <w:tcW w:w="2331" w:type="dxa"/>
          </w:tcPr>
          <w:p>
            <w:pPr/>
            <w:r>
              <w:t xml:space="preserve">56.3%</w:t>
            </w:r>
          </w:p>
        </w:tc>
        <w:tc>
          <w:tcPr>
            <w:tcW w:w="2141" w:type="dxa"/>
          </w:tcPr>
          <w:p>
            <w:pPr/>
            <w:r>
              <w:t xml:space="preserve">6.5</w:t>
            </w:r>
          </w:p>
        </w:tc>
      </w:tr>
      <w:tr>
        <w:tc>
          <w:tcPr>
            <w:tcW w:w="2733" w:type="dxa"/>
          </w:tcPr>
          <w:p>
            <w:pPr/>
            <w:r>
              <w:t xml:space="preserve">High value</w:t>
            </w:r>
          </w:p>
        </w:tc>
        <w:tc>
          <w:tcPr>
            <w:tcW w:w="2153" w:type="dxa"/>
          </w:tcPr>
          <w:p>
            <w:pPr/>
            <w:r>
              <w:t xml:space="preserve">95</w:t>
            </w:r>
          </w:p>
        </w:tc>
        <w:tc>
          <w:tcPr>
            <w:tcW w:w="2331" w:type="dxa"/>
          </w:tcPr>
          <w:p>
            <w:pPr/>
            <w:r>
              <w:t xml:space="preserve">28.1%</w:t>
            </w:r>
          </w:p>
        </w:tc>
        <w:tc>
          <w:tcPr>
            <w:tcW w:w="2141" w:type="dxa"/>
          </w:tcPr>
          <w:p>
            <w:pPr/>
            <w:r>
              <w:t xml:space="preserve">8.0</w:t>
            </w:r>
          </w:p>
        </w:tc>
      </w:tr>
      <w:tr>
        <w:tc>
          <w:tcPr>
            <w:tcW w:w="2733" w:type="dxa"/>
          </w:tcPr>
          <w:p>
            <w:pPr/>
            <w:r>
              <w:t xml:space="preserve">VIP</w:t>
            </w:r>
          </w:p>
        </w:tc>
        <w:tc>
          <w:tcPr>
            <w:tcW w:w="2153" w:type="dxa"/>
          </w:tcPr>
          <w:p>
            <w:pPr/>
            <w:r>
              <w:t xml:space="preserve">19</w:t>
            </w:r>
          </w:p>
        </w:tc>
        <w:tc>
          <w:tcPr>
            <w:tcW w:w="2331" w:type="dxa"/>
          </w:tcPr>
          <w:p>
            <w:pPr/>
            <w:r>
              <w:t xml:space="preserve">11.3%</w:t>
            </w:r>
          </w:p>
        </w:tc>
        <w:tc>
          <w:tcPr>
            <w:tcW w:w="2141" w:type="dxa"/>
          </w:tcPr>
          <w:p>
            <w:pPr/>
            <w:r>
              <w:t xml:space="preserve">7.7</w:t>
            </w:r>
          </w:p>
        </w:tc>
      </w:tr>
    </w:tbl>
    <w:p>
      <w:pPr/>
      <w:r>
        <w:t xml:space="preserve">The Medium tier is the real backbone: 63% of customers and 56% of revenue. Moving Medium customers up into High is a bigger prize than protecting the 19 VIPs alone.</w:t>
      </w:r>
    </w:p>
    <w:p>
      <w:pPr>
        <w:pStyle w:val="Heading2"/>
      </w:pPr>
      <w:r>
        <w:t xml:space="preserve">8. Dashboard Summary (Power BI)</w:t>
      </w:r>
    </w:p>
    <w:p>
      <w:pPr/>
      <w:r>
        <w:t xml:space="preserve">The </w:t>
      </w:r>
      <w:r>
        <w:rPr>
          <w:rStyle w:val="CodeChar"/>
        </w:rPr>
        <w:t xml:space="preserve">sales_dashboard.pbix</w:t>
      </w:r>
      <w:r>
        <w:t xml:space="preserve"> file has three pages built on a DateTable and the Sales_data table:</w:t>
      </w:r>
    </w:p>
    <w:p>
      <w:pPr>
        <w:pStyle w:val="ListParagraph"/>
        <w:numPr>
          <w:ilvl w:val="0"/>
          <w:numId w:val="3"/>
        </w:numPr>
      </w:pPr>
      <w:r>
        <w:rPr>
          <w:b/>
        </w:rPr>
        <w:t xml:space="preserve">Executive Dashboard:</w:t>
      </w:r>
      <w:r>
        <w:t xml:space="preserve"> KPI cards (Total Sales, Total Products, Total Customers, Total Orders, Average Order Value), monthly sales trend, sales by category, region and customer segment, top 10 states, and slicers for year, region, segment, category and ship mode.</w:t>
      </w:r>
    </w:p>
    <w:p>
      <w:pPr>
        <w:pStyle w:val="ListParagraph"/>
        <w:numPr>
          <w:ilvl w:val="0"/>
          <w:numId w:val="3"/>
        </w:numPr>
      </w:pPr>
      <w:r>
        <w:rPr>
          <w:b/>
        </w:rPr>
        <w:t xml:space="preserve">Sales Performance:</w:t>
      </w:r>
      <w:r>
        <w:t xml:space="preserve"> KPI cards, yearly and monthly trends, category and sub-category performance, regional and state sales, sales by ship mode.</w:t>
      </w:r>
    </w:p>
    <w:p>
      <w:pPr>
        <w:pStyle w:val="ListParagraph"/>
        <w:numPr>
          <w:ilvl w:val="0"/>
          <w:numId w:val="3"/>
        </w:numPr>
      </w:pPr>
      <w:r>
        <w:rPr>
          <w:b/>
        </w:rPr>
        <w:t xml:space="preserve">Customer &amp; Product Analysis:</w:t>
      </w:r>
      <w:r>
        <w:t xml:space="preserve"> top customers and products, segment, region, category and sub-category charts, plus detail tables for customer and product sales.</w:t>
      </w:r>
    </w:p>
    <w:p>
      <w:pPr/>
      <w:r>
        <w:t xml:space="preserve">Small fixes to make: the first page is titled "Excutive Dashboard" (typo), and the "Yearly Sales Performance" chart on page two plots Year Month on its axis rather than Year.</w:t>
      </w:r>
    </w:p>
    <w:p>
      <w:pPr>
        <w:pStyle w:val="Heading2"/>
      </w:pPr>
      <w:r>
        <w:t xml:space="preserve">9. Project Review: Issues Found</w:t>
      </w:r>
    </w:p>
    <w:p>
      <w:pPr/>
      <w:r>
        <w:t xml:space="preserve">These are the problems I found while reviewing the notebooks, SQL and files. Fixing them will make the project safer to present.</w:t>
      </w:r>
    </w:p>
    <w:p>
      <w:pPr/>
      <w:r>
        <w:rPr>
          <w:b/>
        </w:rPr>
        <w:t xml:space="preserve">Content and logic issues</w:t>
      </w:r>
    </w:p>
    <w:p>
      <w:pPr>
        <w:pStyle w:val="ListParagraph"/>
        <w:numPr>
          <w:ilvl w:val="0"/>
          <w:numId w:val="4"/>
        </w:numPr>
      </w:pPr>
      <w:r>
        <w:rPr>
          <w:b/>
        </w:rPr>
        <w:t xml:space="preserve">No profit data exists.</w:t>
      </w:r>
      <w:r>
        <w:t xml:space="preserve"> The cleaning notebook lists Quantity, Discounts and Profit as dataset contents, and the notebooks and recommendations discuss profit, margins and discounts, but the CSV has none of these columns. Business question 2 ("Which category generates the highest profit?") cannot be answered. Either add the profit data or remove the profit claims.</w:t>
      </w:r>
    </w:p>
    <w:p>
      <w:pPr>
        <w:pStyle w:val="ListParagraph"/>
        <w:numPr>
          <w:ilvl w:val="0"/>
          <w:numId w:val="4"/>
        </w:numPr>
      </w:pPr>
      <w:r>
        <w:rPr>
          <w:b/>
        </w:rPr>
        <w:t xml:space="preserve">Wrong key finding.</w:t>
      </w:r>
      <w:r>
        <w:t xml:space="preserve"> Sales_Analysis states "the most valuable customer segment was Phones." Phones is a sub-category. The correct answer is </w:t>
      </w:r>
      <w:r>
        <w:rPr>
          <w:b/>
        </w:rPr>
        <w:t xml:space="preserve">Consumer</w:t>
      </w:r>
      <w:r>
        <w:t xml:space="preserve"> by total sales ($1.15M) or </w:t>
      </w:r>
      <w:r>
        <w:rPr>
          <w:b/>
        </w:rPr>
        <w:t xml:space="preserve">Corporate</w:t>
      </w:r>
      <w:r>
        <w:t xml:space="preserve"> by sales per customer ($2,917), a very small difference.</w:t>
      </w:r>
    </w:p>
    <w:p>
      <w:pPr>
        <w:pStyle w:val="ListParagraph"/>
        <w:numPr>
          <w:ilvl w:val="0"/>
          <w:numId w:val="4"/>
        </w:numPr>
      </w:pPr>
      <w:r>
        <w:rPr>
          <w:b/>
        </w:rPr>
        <w:t xml:space="preserve">"Monthly profit" is actually sales.</w:t>
      </w:r>
      <w:r>
        <w:t xml:space="preserve"> In Time_Series_Analysis the monthly_profit cell sums the Sales column.</w:t>
      </w:r>
    </w:p>
    <w:p>
      <w:pPr>
        <w:pStyle w:val="ListParagraph"/>
        <w:numPr>
          <w:ilvl w:val="0"/>
          <w:numId w:val="4"/>
        </w:numPr>
      </w:pPr>
      <w:r>
        <w:rPr>
          <w:b/>
        </w:rPr>
        <w:t xml:space="preserve">Broken cell.</w:t>
      </w:r>
      <w:r>
        <w:t xml:space="preserve"> The "High-Sales but Low-Profit Products" cell in Product_Customer_Analysis has an incomplete condition (a dangling </w:t>
      </w:r>
      <w:r>
        <w:rPr>
          <w:rStyle w:val="CodeChar"/>
        </w:rPr>
        <w:t xml:space="preserve">&amp;</w:t>
      </w:r>
      <w:r>
        <w:t xml:space="preserve">) and would error.</w:t>
      </w:r>
    </w:p>
    <w:p>
      <w:pPr>
        <w:pStyle w:val="ListParagraph"/>
        <w:numPr>
          <w:ilvl w:val="0"/>
          <w:numId w:val="4"/>
        </w:numPr>
      </w:pPr>
      <w:r>
        <w:rPr>
          <w:b/>
        </w:rPr>
        <w:t xml:space="preserve">Empty notebook.</w:t>
      </w:r>
      <w:r>
        <w:t xml:space="preserve"> Business_Insights is blank, and Untitled1 and Untitled2 are empty checkpoints.</w:t>
      </w:r>
    </w:p>
    <w:p>
      <w:pPr/>
      <w:r>
        <w:rPr>
          <w:b/>
        </w:rPr>
        <w:t xml:space="preserve">Engineering issues</w:t>
      </w:r>
    </w:p>
    <w:p>
      <w:pPr>
        <w:pStyle w:val="ListParagraph"/>
        <w:numPr>
          <w:ilvl w:val="0"/>
          <w:numId w:val="5"/>
        </w:numPr>
      </w:pPr>
      <w:r>
        <w:t xml:space="preserve">Notebooks use a hard-coded Windows path (</w:t>
      </w:r>
      <w:r>
        <w:rPr>
          <w:rStyle w:val="CodeChar"/>
        </w:rPr>
        <w:t xml:space="preserve">C:\Users\USER\Downloads\...</w:t>
      </w:r>
      <w:r>
        <w:t xml:space="preserve">), so nobody else can run them without editing.</w:t>
      </w:r>
    </w:p>
    <w:p>
      <w:pPr>
        <w:pStyle w:val="ListParagraph"/>
        <w:numPr>
          <w:ilvl w:val="0"/>
          <w:numId w:val="5"/>
        </w:numPr>
      </w:pPr>
      <w:r>
        <w:t xml:space="preserve">The cleaning notebook overwrites its own input (</w:t>
      </w:r>
      <w:r>
        <w:rPr>
          <w:rStyle w:val="CodeChar"/>
        </w:rPr>
        <w:t xml:space="preserve">train.csv</w:t>
      </w:r>
      <w:r>
        <w:t xml:space="preserve">), and </w:t>
      </w:r>
      <w:r>
        <w:rPr>
          <w:rStyle w:val="CodeChar"/>
        </w:rPr>
        <w:t xml:space="preserve">train.csv</w:t>
      </w:r>
      <w:r>
        <w:t xml:space="preserve"> and </w:t>
      </w:r>
      <w:r>
        <w:rPr>
          <w:rStyle w:val="CodeChar"/>
        </w:rPr>
        <w:t xml:space="preserve">Sales_data.csv</w:t>
      </w:r>
      <w:r>
        <w:t xml:space="preserve"> are byte-identical. Keep one raw file and write cleaned output to a separate name.</w:t>
      </w:r>
    </w:p>
    <w:p>
      <w:pPr>
        <w:pStyle w:val="ListParagraph"/>
        <w:numPr>
          <w:ilvl w:val="0"/>
          <w:numId w:val="5"/>
        </w:numPr>
      </w:pPr>
      <w:r>
        <w:rPr>
          <w:rStyle w:val="CodeChar"/>
        </w:rPr>
        <w:t xml:space="preserve">03_business_analysis.sql</w:t>
      </w:r>
      <w:r>
        <w:t xml:space="preserve"> contains the stray text "Section J — Monthly Sales", and </w:t>
      </w:r>
      <w:r>
        <w:rPr>
          <w:rStyle w:val="CodeChar"/>
        </w:rPr>
        <w:t xml:space="preserve">04_advanced_analysis.sql</w:t>
      </w:r>
      <w:r>
        <w:t xml:space="preserve"> ends with the stray text "Then:". Both will cause syntax errors if run as-is.</w:t>
      </w:r>
    </w:p>
    <w:p>
      <w:pPr>
        <w:pStyle w:val="ListParagraph"/>
        <w:numPr>
          <w:ilvl w:val="0"/>
          <w:numId w:val="5"/>
        </w:numPr>
      </w:pPr>
      <w:r>
        <w:t xml:space="preserve">The SQL table defines </w:t>
      </w:r>
      <w:r>
        <w:rPr>
          <w:rStyle w:val="CodeChar"/>
        </w:rPr>
        <w:t xml:space="preserve">quarter</w:t>
      </w:r>
      <w:r>
        <w:t xml:space="preserve"> as VARCHAR and </w:t>
      </w:r>
      <w:r>
        <w:rPr>
          <w:rStyle w:val="CodeChar"/>
        </w:rPr>
        <w:t xml:space="preserve">postal_code</w:t>
      </w:r>
      <w:r>
        <w:t xml:space="preserve"> as VARCHAR, while the CSV holds integer quarters and decimal postal codes (for example 42420.0). Clean these on import.</w:t>
      </w:r>
    </w:p>
    <w:p>
      <w:pPr>
        <w:pStyle w:val="ListParagraph"/>
        <w:numPr>
          <w:ilvl w:val="0"/>
          <w:numId w:val="5"/>
        </w:numPr>
      </w:pPr>
      <w:r>
        <w:t xml:space="preserve">The </w:t>
      </w:r>
      <w:r>
        <w:rPr>
          <w:rStyle w:val="CodeChar"/>
        </w:rPr>
        <w:t xml:space="preserve">.ipynb_checkpoints</w:t>
      </w:r>
      <w:r>
        <w:t xml:space="preserve"> folder duplicates the notebooks and should be excluded from the repository. The </w:t>
      </w:r>
      <w:r>
        <w:rPr>
          <w:rStyle w:val="CodeChar"/>
        </w:rPr>
        <w:t xml:space="preserve">screenshots</w:t>
      </w:r>
      <w:r>
        <w:t xml:space="preserve"> folder is empty.</w:t>
      </w:r>
    </w:p>
    <w:p>
      <w:pPr>
        <w:pStyle w:val="Heading2"/>
      </w:pPr>
      <w:r>
        <w:t xml:space="preserve">10. Business Insights</w:t>
      </w:r>
    </w:p>
    <w:p>
      <w:pPr>
        <w:pStyle w:val="ListParagraph"/>
        <w:numPr>
          <w:ilvl w:val="0"/>
          <w:numId w:val="6"/>
        </w:numPr>
      </w:pPr>
      <w:r>
        <w:rPr>
          <w:b/>
        </w:rPr>
        <w:t xml:space="preserve">Revenue is expanding through volume.</w:t>
      </w:r>
      <w:r>
        <w:t xml:space="preserve"> More orders and customers are fuelling growth, while order value is shrinking. This is healthy only if margins hold, which this data cannot confirm.</w:t>
      </w:r>
    </w:p>
    <w:p>
      <w:pPr>
        <w:pStyle w:val="ListParagraph"/>
        <w:numPr>
          <w:ilvl w:val="0"/>
          <w:numId w:val="6"/>
        </w:numPr>
      </w:pPr>
      <w:r>
        <w:rPr>
          <w:b/>
        </w:rPr>
        <w:t xml:space="preserve">Seasonality dominates cash flow.</w:t>
      </w:r>
      <w:r>
        <w:t xml:space="preserve"> Nearly 40% of sales land in Q4, and January and February are the trough. Inventory, staffing and promotions should be planned around this.</w:t>
      </w:r>
    </w:p>
    <w:p>
      <w:pPr>
        <w:pStyle w:val="ListParagraph"/>
        <w:numPr>
          <w:ilvl w:val="0"/>
          <w:numId w:val="6"/>
        </w:numPr>
      </w:pPr>
      <w:r>
        <w:rPr>
          <w:b/>
        </w:rPr>
        <w:t xml:space="preserve">Two regions carry the business.</w:t>
      </w:r>
      <w:r>
        <w:t xml:space="preserve"> West and East generate 61% of sales and are growing fastest. South is stagnant and Central is mid-paced.</w:t>
      </w:r>
    </w:p>
    <w:p>
      <w:pPr>
        <w:pStyle w:val="ListParagraph"/>
        <w:numPr>
          <w:ilvl w:val="0"/>
          <w:numId w:val="6"/>
        </w:numPr>
      </w:pPr>
      <w:r>
        <w:rPr>
          <w:b/>
        </w:rPr>
        <w:t xml:space="preserve">Geographic concentration is a risk and an opportunity.</w:t>
      </w:r>
      <w:r>
        <w:t xml:space="preserve"> California and New York are a third of sales. Many states sell almost nothing.</w:t>
      </w:r>
    </w:p>
    <w:p>
      <w:pPr>
        <w:pStyle w:val="ListParagraph"/>
        <w:numPr>
          <w:ilvl w:val="0"/>
          <w:numId w:val="6"/>
        </w:numPr>
      </w:pPr>
      <w:r>
        <w:rPr>
          <w:b/>
        </w:rPr>
        <w:t xml:space="preserve">Corporate and Home Office are the growth segments.</w:t>
      </w:r>
      <w:r>
        <w:t xml:space="preserve"> They grew 85% and 77% versus 25% for Consumer, at equal spend per customer.</w:t>
      </w:r>
    </w:p>
    <w:p>
      <w:pPr>
        <w:pStyle w:val="ListParagraph"/>
        <w:numPr>
          <w:ilvl w:val="0"/>
          <w:numId w:val="6"/>
        </w:numPr>
      </w:pPr>
      <w:r>
        <w:rPr>
          <w:b/>
        </w:rPr>
        <w:t xml:space="preserve">Office Supplies builds relationships, Technology builds revenue.</w:t>
      </w:r>
      <w:r>
        <w:t xml:space="preserve"> Office Supplies has the most orders at the lowest value; Technology the highest value per order.</w:t>
      </w:r>
    </w:p>
    <w:p>
      <w:pPr>
        <w:pStyle w:val="ListParagraph"/>
        <w:numPr>
          <w:ilvl w:val="0"/>
          <w:numId w:val="6"/>
        </w:numPr>
      </w:pPr>
      <w:r>
        <w:rPr>
          <w:b/>
        </w:rPr>
        <w:t xml:space="preserve">Customer value sits in the middle.</w:t>
      </w:r>
      <w:r>
        <w:t xml:space="preserve"> The Medium and High tiers deliver 84% of sales, so upgrade programmes there have the biggest impact.</w:t>
      </w:r>
    </w:p>
    <w:p>
      <w:pPr>
        <w:pStyle w:val="ListParagraph"/>
        <w:numPr>
          <w:ilvl w:val="0"/>
          <w:numId w:val="6"/>
        </w:numPr>
      </w:pPr>
      <w:r>
        <w:rPr>
          <w:b/>
        </w:rPr>
        <w:t xml:space="preserve">Fulfilment is consistent.</w:t>
      </w:r>
      <w:r>
        <w:t xml:space="preserve"> Shipping speed is uniform across regions, and Standard Class is the dominant mode at five days.</w:t>
      </w:r>
    </w:p>
    <w:p>
      <w:pPr>
        <w:pStyle w:val="Heading2"/>
      </w:pPr>
      <w:r>
        <w:t xml:space="preserve">11. Recommendations</w:t>
      </w:r>
    </w:p>
    <w:tbl>
      <w:tblPr>
        <w:tblStyle w:val="TableGrid"/>
        <w:tblW w:w="0" w:type="auto"/>
        <w:tblLayout w:type="fixed"/>
        <w:tblLook w:val="04A0" w:firstRow="1" w:lastRow="0" w:firstColumn="0" w:lastColumn="0" w:noHBand="0" w:noVBand="1"/>
      </w:tblPr>
      <w:tblGrid>
        <w:gridCol w:w="1081"/>
        <w:gridCol w:w="4920"/>
        <w:gridCol w:w="3359"/>
      </w:tblGrid>
      <w:tr>
        <w:trPr>
          <w:tblHeader/>
        </w:trPr>
        <w:tc>
          <w:tcPr>
            <w:tcW w:w="1081" w:type="dxa"/>
            <w:shd w:val="clear" w:color="auto" w:fill="F2F2F2"/>
          </w:tcPr>
          <w:p>
            <w:pPr/>
            <w:r>
              <w:t xml:space="preserve">Priority</w:t>
            </w:r>
          </w:p>
        </w:tc>
        <w:tc>
          <w:tcPr>
            <w:tcW w:w="4920" w:type="dxa"/>
            <w:shd w:val="clear" w:color="auto" w:fill="F2F2F2"/>
          </w:tcPr>
          <w:p>
            <w:pPr/>
            <w:r>
              <w:t xml:space="preserve">Recommendation</w:t>
            </w:r>
          </w:p>
        </w:tc>
        <w:tc>
          <w:tcPr>
            <w:tcW w:w="3359" w:type="dxa"/>
            <w:shd w:val="clear" w:color="auto" w:fill="F2F2F2"/>
          </w:tcPr>
          <w:p>
            <w:pPr/>
            <w:r>
              <w:t xml:space="preserve">Evidence</w:t>
            </w:r>
          </w:p>
        </w:tc>
      </w:tr>
      <w:tr>
        <w:tc>
          <w:tcPr>
            <w:tcW w:w="1081" w:type="dxa"/>
          </w:tcPr>
          <w:p>
            <w:pPr/>
            <w:r>
              <w:t xml:space="preserve">High</w:t>
            </w:r>
          </w:p>
        </w:tc>
        <w:tc>
          <w:tcPr>
            <w:tcW w:w="4920" w:type="dxa"/>
          </w:tcPr>
          <w:p>
            <w:pPr/>
            <w:r>
              <w:t xml:space="preserve">Capture profit, quantity and discount data and rebuild the profitability analysis</w:t>
            </w:r>
          </w:p>
        </w:tc>
        <w:tc>
          <w:tcPr>
            <w:tcW w:w="3359" w:type="dxa"/>
          </w:tcPr>
          <w:p>
            <w:pPr/>
            <w:r>
              <w:t xml:space="preserve">Dataset has sales only; current profit statements are unsupported</w:t>
            </w:r>
          </w:p>
        </w:tc>
      </w:tr>
      <w:tr>
        <w:tc>
          <w:tcPr>
            <w:tcW w:w="1081" w:type="dxa"/>
          </w:tcPr>
          <w:p>
            <w:pPr/>
            <w:r>
              <w:t xml:space="preserve">High</w:t>
            </w:r>
          </w:p>
        </w:tc>
        <w:tc>
          <w:tcPr>
            <w:tcW w:w="4920" w:type="dxa"/>
          </w:tcPr>
          <w:p>
            <w:pPr/>
            <w:r>
              <w:t xml:space="preserve">Plan inventory, staffing and campaigns around Sep, Nov and Dec peaks; run promotions to lift Jan and Feb</w:t>
            </w:r>
          </w:p>
        </w:tc>
        <w:tc>
          <w:tcPr>
            <w:tcW w:w="3359" w:type="dxa"/>
          </w:tcPr>
          <w:p>
            <w:pPr/>
            <w:r>
              <w:t xml:space="preserve">43% of sales in three months; Feb is the weakest month</w:t>
            </w:r>
          </w:p>
        </w:tc>
      </w:tr>
      <w:tr>
        <w:tc>
          <w:tcPr>
            <w:tcW w:w="1081" w:type="dxa"/>
          </w:tcPr>
          <w:p>
            <w:pPr/>
            <w:r>
              <w:t xml:space="preserve">High</w:t>
            </w:r>
          </w:p>
        </w:tc>
        <w:tc>
          <w:tcPr>
            <w:tcW w:w="4920" w:type="dxa"/>
          </w:tcPr>
          <w:p>
            <w:pPr/>
            <w:r>
              <w:t xml:space="preserve">Reverse the fall in order value with bundles, cross-sell and minimum-spend offers</w:t>
            </w:r>
          </w:p>
        </w:tc>
        <w:tc>
          <w:tcPr>
            <w:tcW w:w="3359" w:type="dxa"/>
          </w:tcPr>
          <w:p>
            <w:pPr/>
            <w:r>
              <w:t xml:space="preserve">AOV down 14% from 2015 to 2018</w:t>
            </w:r>
          </w:p>
        </w:tc>
      </w:tr>
      <w:tr>
        <w:tc>
          <w:tcPr>
            <w:tcW w:w="1081" w:type="dxa"/>
          </w:tcPr>
          <w:p>
            <w:pPr/>
            <w:r>
              <w:t xml:space="preserve">Medium</w:t>
            </w:r>
          </w:p>
        </w:tc>
        <w:tc>
          <w:tcPr>
            <w:tcW w:w="4920" w:type="dxa"/>
          </w:tcPr>
          <w:p>
            <w:pPr/>
            <w:r>
              <w:t xml:space="preserve">Investigate South's under-performance (coverage, delivery, local marketing)</w:t>
            </w:r>
          </w:p>
        </w:tc>
        <w:tc>
          <w:tcPr>
            <w:tcW w:w="3359" w:type="dxa"/>
          </w:tcPr>
          <w:p>
            <w:pPr/>
            <w:r>
              <w:t xml:space="preserve">17% share; only +18% growth; -32% in 2016</w:t>
            </w:r>
          </w:p>
        </w:tc>
      </w:tr>
      <w:tr>
        <w:tc>
          <w:tcPr>
            <w:tcW w:w="1081" w:type="dxa"/>
          </w:tcPr>
          <w:p>
            <w:pPr/>
            <w:r>
              <w:t xml:space="preserve">Medium</w:t>
            </w:r>
          </w:p>
        </w:tc>
        <w:tc>
          <w:tcPr>
            <w:tcW w:w="4920" w:type="dxa"/>
          </w:tcPr>
          <w:p>
            <w:pPr/>
            <w:r>
              <w:t xml:space="preserve">Build account programmes for Corporate and Home Office customers</w:t>
            </w:r>
          </w:p>
        </w:tc>
        <w:tc>
          <w:tcPr>
            <w:tcW w:w="3359" w:type="dxa"/>
          </w:tcPr>
          <w:p>
            <w:pPr/>
            <w:r>
              <w:t xml:space="preserve">Fastest-growing segments</w:t>
            </w:r>
          </w:p>
        </w:tc>
      </w:tr>
      <w:tr>
        <w:tc>
          <w:tcPr>
            <w:tcW w:w="1081" w:type="dxa"/>
          </w:tcPr>
          <w:p>
            <w:pPr/>
            <w:r>
              <w:t xml:space="preserve">Medium</w:t>
            </w:r>
          </w:p>
        </w:tc>
        <w:tc>
          <w:tcPr>
            <w:tcW w:w="4920" w:type="dxa"/>
          </w:tcPr>
          <w:p>
            <w:pPr/>
            <w:r>
              <w:t xml:space="preserve">Run an upgrade campaign targeting Medium-tier customers</w:t>
            </w:r>
          </w:p>
        </w:tc>
        <w:tc>
          <w:tcPr>
            <w:tcW w:w="3359" w:type="dxa"/>
          </w:tcPr>
          <w:p>
            <w:pPr/>
            <w:r>
              <w:t xml:space="preserve">501 customers, 56% of sales</w:t>
            </w:r>
          </w:p>
        </w:tc>
      </w:tr>
      <w:tr>
        <w:tc>
          <w:tcPr>
            <w:tcW w:w="1081" w:type="dxa"/>
          </w:tcPr>
          <w:p>
            <w:pPr/>
            <w:r>
              <w:t xml:space="preserve">Medium</w:t>
            </w:r>
          </w:p>
        </w:tc>
        <w:tc>
          <w:tcPr>
            <w:tcW w:w="4920" w:type="dxa"/>
          </w:tcPr>
          <w:p>
            <w:pPr/>
            <w:r>
              <w:t xml:space="preserve">Protect the top 20% of customers with loyalty and account management</w:t>
            </w:r>
          </w:p>
        </w:tc>
        <w:tc>
          <w:tcPr>
            <w:tcW w:w="3359" w:type="dxa"/>
          </w:tcPr>
          <w:p>
            <w:pPr/>
            <w:r>
              <w:t xml:space="preserve">48% of sales</w:t>
            </w:r>
          </w:p>
        </w:tc>
      </w:tr>
      <w:tr>
        <w:tc>
          <w:tcPr>
            <w:tcW w:w="1081" w:type="dxa"/>
          </w:tcPr>
          <w:p>
            <w:pPr/>
            <w:r>
              <w:t xml:space="preserve">Low</w:t>
            </w:r>
          </w:p>
        </w:tc>
        <w:tc>
          <w:tcPr>
            <w:tcW w:w="4920" w:type="dxa"/>
          </w:tcPr>
          <w:p>
            <w:pPr/>
            <w:r>
              <w:t xml:space="preserve">Review the tail sub-categories (Fasteners, Labels, Envelopes, Art) for bundling or rationalisation</w:t>
            </w:r>
          </w:p>
        </w:tc>
        <w:tc>
          <w:tcPr>
            <w:tcW w:w="3359" w:type="dxa"/>
          </w:tcPr>
          <w:p>
            <w:pPr/>
            <w:r>
              <w:t xml:space="preserve">Together under 3% of sales</w:t>
            </w:r>
          </w:p>
        </w:tc>
      </w:tr>
      <w:tr>
        <w:tc>
          <w:tcPr>
            <w:tcW w:w="1081" w:type="dxa"/>
          </w:tcPr>
          <w:p>
            <w:pPr/>
            <w:r>
              <w:t xml:space="preserve">Low</w:t>
            </w:r>
          </w:p>
        </w:tc>
        <w:tc>
          <w:tcPr>
            <w:tcW w:w="4920" w:type="dxa"/>
          </w:tcPr>
          <w:p>
            <w:pPr/>
            <w:r>
              <w:t xml:space="preserve">Expand marketing in low-sales states once margin data is available</w:t>
            </w:r>
          </w:p>
        </w:tc>
        <w:tc>
          <w:tcPr>
            <w:tcW w:w="3359" w:type="dxa"/>
          </w:tcPr>
          <w:p>
            <w:pPr/>
            <w:r>
              <w:t xml:space="preserve">Many states under $2K</w:t>
            </w:r>
          </w:p>
        </w:tc>
      </w:tr>
    </w:tbl>
    <w:p>
      <w:pPr>
        <w:pStyle w:val="Heading2"/>
      </w:pPr>
      <w:r>
        <w:t xml:space="preserve">12. Limitations and Next Steps</w:t>
      </w:r>
    </w:p>
    <w:p>
      <w:pPr/>
      <w:r>
        <w:rPr>
          <w:b/>
        </w:rPr>
        <w:t xml:space="preserve">Limitations:</w:t>
      </w:r>
      <w:r>
        <w:t xml:space="preserve"> sales is the only financial measure; the period is four years of US orders; no marketing, cost or inventory data; averages are distorted by a few very large orders; and the 8 repeated order-product pairs were kept without confirmation.</w:t>
      </w:r>
    </w:p>
    <w:p>
      <w:pPr/>
      <w:r>
        <w:rPr>
          <w:b/>
        </w:rPr>
        <w:t xml:space="preserve">Next steps</w:t>
      </w:r>
    </w:p>
    <w:p>
      <w:pPr>
        <w:pStyle w:val="ListParagraph"/>
        <w:numPr>
          <w:ilvl w:val="0"/>
          <w:numId w:val="7"/>
        </w:numPr>
      </w:pPr>
      <w:r>
        <w:t xml:space="preserve">Fix the issues in Section 9 and complete the Business_Insights notebook using this report's findings.</w:t>
      </w:r>
    </w:p>
    <w:p>
      <w:pPr>
        <w:pStyle w:val="ListParagraph"/>
        <w:numPr>
          <w:ilvl w:val="0"/>
          <w:numId w:val="7"/>
        </w:numPr>
      </w:pPr>
      <w:r>
        <w:t xml:space="preserve">Add profit, quantity and discount fields and extend the SQL and Power BI model.</w:t>
      </w:r>
    </w:p>
    <w:p>
      <w:pPr>
        <w:pStyle w:val="ListParagraph"/>
        <w:numPr>
          <w:ilvl w:val="0"/>
          <w:numId w:val="7"/>
        </w:numPr>
      </w:pPr>
      <w:r>
        <w:t xml:space="preserve">Build a simple sales forecast (seasonal naive or Holt-Winters), which the Time_Series notebook lists as optional future work.</w:t>
      </w:r>
    </w:p>
    <w:p>
      <w:pPr>
        <w:pStyle w:val="ListParagraph"/>
        <w:numPr>
          <w:ilvl w:val="0"/>
          <w:numId w:val="7"/>
        </w:numPr>
      </w:pPr>
      <w:r>
        <w:t xml:space="preserve">Add RFM (recency, frequency, monetary) customer segmentation to refine the value tiers.</w:t>
      </w:r>
    </w:p>
    <w:p>
      <w:pPr>
        <w:pStyle w:val="ListParagraph"/>
        <w:numPr>
          <w:ilvl w:val="0"/>
          <w:numId w:val="7"/>
        </w:numPr>
      </w:pPr>
      <w:r>
        <w:t xml:space="preserve">Add dashboard screenshots and a README so the project is reproducible and portfolio-ready.</w:t>
      </w:r>
    </w:p>
    <w:p>
      <w:pPr>
        <w:pStyle w:val="Heading2"/>
      </w:pPr>
      <w:r>
        <w:t xml:space="preserve">13. Conclusion</w:t>
      </w:r>
    </w:p>
    <w:p>
      <w:pPr/>
      <w:r>
        <w:t xml:space="preserve">The business grew from $480K to $722K a year between 2015 and 2018, driven by more orders, more customers, and strong gains in the West and East regions and in the Corporate and Home Office segments. Revenue is concentrated in a few states, a few seasonal months and a core group of repeat customers. The biggest gap in the project is profitability: with margin data added, the same framework would show which of these growth areas is actually worth investing in.</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1"/>
    <w:lvlOverride w:ilvl="0">
      <w:startOverride w:val="6"/>
    </w:lvlOverride>
  </w:num>
  <w:num w:numId="6">
    <w:abstractNumId w:val="1"/>
    <w:lvlOverride w:ilvl="0">
      <w:startOverride w:val="1"/>
    </w:lvlOverride>
  </w:num>
  <w:num w:numId="7">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Sales &amp; Business Analytics Project Report</dc:title>
  <dc:description>Claude Docs node/2c2b0e08-e610@1 docx-w7</dc:description>
  <cp:revision>1</cp:revision>
</cp:coreProperties>
</file>